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EC" w:rsidRDefault="005E30EC" w:rsidP="003454FB">
      <w:pPr>
        <w:jc w:val="center"/>
        <w:rPr>
          <w:b/>
        </w:rPr>
      </w:pPr>
      <w:bookmarkStart w:id="0" w:name="_GoBack"/>
      <w:proofErr w:type="gramStart"/>
      <w:r>
        <w:rPr>
          <w:b/>
        </w:rPr>
        <w:t>Dalle nuove frontiere della pianificazione urbanistica al nuovo regime dei titoli edilizi</w:t>
      </w:r>
      <w:bookmarkEnd w:id="0"/>
      <w:proofErr w:type="gramEnd"/>
    </w:p>
    <w:p w:rsidR="005E30EC" w:rsidRDefault="005E30EC" w:rsidP="003454FB">
      <w:pPr>
        <w:jc w:val="center"/>
        <w:rPr>
          <w:b/>
        </w:rPr>
      </w:pPr>
    </w:p>
    <w:p w:rsidR="005E30EC" w:rsidRDefault="005E30EC" w:rsidP="003454FB">
      <w:pPr>
        <w:jc w:val="center"/>
        <w:rPr>
          <w:b/>
        </w:rPr>
      </w:pPr>
      <w:r>
        <w:rPr>
          <w:b/>
        </w:rPr>
        <w:t>Noci 25 gennaio 2013</w:t>
      </w:r>
    </w:p>
    <w:p w:rsidR="005E30EC" w:rsidRDefault="005E30EC" w:rsidP="003454FB">
      <w:pPr>
        <w:jc w:val="center"/>
        <w:rPr>
          <w:b/>
        </w:rPr>
      </w:pPr>
    </w:p>
    <w:p w:rsidR="003454FB" w:rsidRDefault="006E1ED5" w:rsidP="003454FB">
      <w:pPr>
        <w:jc w:val="center"/>
        <w:rPr>
          <w:b/>
        </w:rPr>
      </w:pPr>
      <w:r w:rsidRPr="003454FB">
        <w:rPr>
          <w:b/>
        </w:rPr>
        <w:t xml:space="preserve">Perequazione urbanistica e legislazione regionale. </w:t>
      </w:r>
      <w:proofErr w:type="gramStart"/>
      <w:r w:rsidRPr="003454FB">
        <w:rPr>
          <w:b/>
        </w:rPr>
        <w:t>Spunti di ri</w:t>
      </w:r>
      <w:r w:rsidR="003454FB" w:rsidRPr="003454FB">
        <w:rPr>
          <w:b/>
        </w:rPr>
        <w:t>f</w:t>
      </w:r>
      <w:r w:rsidRPr="003454FB">
        <w:rPr>
          <w:b/>
        </w:rPr>
        <w:t xml:space="preserve">lessione </w:t>
      </w:r>
      <w:r w:rsidR="003454FB" w:rsidRPr="003454FB">
        <w:rPr>
          <w:b/>
        </w:rPr>
        <w:t>verso la nuova urbanistica</w:t>
      </w:r>
      <w:proofErr w:type="gramEnd"/>
    </w:p>
    <w:p w:rsidR="006E1ED5" w:rsidRPr="003454FB" w:rsidRDefault="006E1ED5" w:rsidP="003454FB">
      <w:pPr>
        <w:jc w:val="center"/>
        <w:rPr>
          <w:b/>
        </w:rPr>
      </w:pPr>
    </w:p>
    <w:p w:rsidR="003454FB" w:rsidRPr="003454FB" w:rsidRDefault="003454FB" w:rsidP="003454FB">
      <w:pPr>
        <w:jc w:val="center"/>
        <w:rPr>
          <w:b/>
        </w:rPr>
      </w:pPr>
      <w:r w:rsidRPr="003454FB">
        <w:rPr>
          <w:b/>
        </w:rPr>
        <w:t>Paolo Urbani</w:t>
      </w:r>
    </w:p>
    <w:p w:rsidR="006E1ED5" w:rsidRDefault="006E1ED5" w:rsidP="003454FB">
      <w:pPr>
        <w:jc w:val="center"/>
      </w:pPr>
    </w:p>
    <w:p w:rsidR="00883B0E" w:rsidRDefault="00883B0E" w:rsidP="00883B0E">
      <w:pPr>
        <w:jc w:val="both"/>
      </w:pPr>
      <w:r>
        <w:t xml:space="preserve">La mia relazione toccherà alcuni punti nevralgici della pianificazione urbanistica e della sua attuazione, nella consapevolezza che i contenuti della nuova urbanistica siano ormai entrati ampiamente nel dibattito tra operatori economici e amministrazioni locali. </w:t>
      </w:r>
    </w:p>
    <w:p w:rsidR="00883B0E" w:rsidRDefault="00883B0E" w:rsidP="00883B0E">
      <w:pPr>
        <w:jc w:val="both"/>
      </w:pPr>
    </w:p>
    <w:p w:rsidR="00883B0E" w:rsidRPr="00DA5581" w:rsidRDefault="00883B0E" w:rsidP="00883B0E">
      <w:pPr>
        <w:jc w:val="both"/>
        <w:rPr>
          <w:b/>
          <w:i/>
        </w:rPr>
      </w:pPr>
      <w:r w:rsidRPr="00DA5581">
        <w:rPr>
          <w:b/>
          <w:i/>
        </w:rPr>
        <w:t>1.</w:t>
      </w:r>
      <w:proofErr w:type="gramStart"/>
      <w:r w:rsidRPr="00DA5581">
        <w:rPr>
          <w:b/>
          <w:i/>
        </w:rPr>
        <w:t>La</w:t>
      </w:r>
      <w:proofErr w:type="gramEnd"/>
      <w:r w:rsidRPr="00DA5581">
        <w:rPr>
          <w:b/>
          <w:i/>
        </w:rPr>
        <w:t xml:space="preserve"> perequazione come nuovo modo di conformazione dei suoli </w:t>
      </w:r>
    </w:p>
    <w:p w:rsidR="00883B0E" w:rsidRDefault="00883B0E" w:rsidP="00883B0E">
      <w:pPr>
        <w:jc w:val="both"/>
        <w:rPr>
          <w:i/>
        </w:rPr>
      </w:pPr>
    </w:p>
    <w:p w:rsidR="00883B0E" w:rsidRDefault="00883B0E" w:rsidP="00883B0E">
      <w:pPr>
        <w:jc w:val="both"/>
      </w:pPr>
      <w:r>
        <w:t>La perequazione, già adombrata nell’art.</w:t>
      </w:r>
      <w:proofErr w:type="gramStart"/>
      <w:r>
        <w:t>23</w:t>
      </w:r>
      <w:proofErr w:type="gramEnd"/>
      <w:r>
        <w:t xml:space="preserve"> della legge urbanistica del ’42 ed anche nella sentenza 55/68 – che può considerarsi la prima sentenza sulla </w:t>
      </w:r>
      <w:r w:rsidR="00A64F89">
        <w:t xml:space="preserve">perequazione tra proprietari – </w:t>
      </w:r>
      <w:r>
        <w:t>è entrata ormai nel lessico delle amministrazioni locali quando si operano nuove scelte sul territorio.</w:t>
      </w:r>
    </w:p>
    <w:p w:rsidR="00883B0E" w:rsidRDefault="00883B0E" w:rsidP="00883B0E">
      <w:pPr>
        <w:jc w:val="both"/>
      </w:pPr>
      <w:r>
        <w:t xml:space="preserve">Ora </w:t>
      </w:r>
      <w:proofErr w:type="spellStart"/>
      <w:proofErr w:type="gramStart"/>
      <w:r>
        <w:t>qual’</w:t>
      </w:r>
      <w:proofErr w:type="gramEnd"/>
      <w:r>
        <w:t>è</w:t>
      </w:r>
      <w:proofErr w:type="spellEnd"/>
      <w:r>
        <w:t xml:space="preserve"> la finalità della perequazione? Ottenere l’indifferenza dei proprietari rispetto alle scelte di pianificazione, oppure garantire le dotazioni territoriali senza oneri per la PA e soprattutto superando definitivamente o rendendo assolutamente residuale il problema dei vincoli urbanistici </w:t>
      </w:r>
      <w:r w:rsidR="00A64F89">
        <w:t>da parte dei</w:t>
      </w:r>
      <w:proofErr w:type="gramStart"/>
      <w:r w:rsidR="00A64F89">
        <w:t xml:space="preserve"> </w:t>
      </w:r>
      <w:r>
        <w:t xml:space="preserve"> </w:t>
      </w:r>
      <w:proofErr w:type="gramEnd"/>
      <w:r>
        <w:t>comuni?</w:t>
      </w:r>
    </w:p>
    <w:p w:rsidR="00883B0E" w:rsidRDefault="00883B0E" w:rsidP="00883B0E">
      <w:pPr>
        <w:jc w:val="both"/>
      </w:pPr>
      <w:r>
        <w:t xml:space="preserve">E’ l’uno e l’altro insieme, tendendo questa a trovare un punto di equilibrio tra interessi pubblici e privati. Ma come tutti i punti di equilibrio </w:t>
      </w:r>
      <w:proofErr w:type="gramStart"/>
      <w:r>
        <w:t>è</w:t>
      </w:r>
      <w:proofErr w:type="gramEnd"/>
      <w:r>
        <w:t xml:space="preserve"> instabile e qualunque alterazione delle regole può produrre uno squilibrio tra tutela della proprietà e interessi pubblici.</w:t>
      </w:r>
      <w:r w:rsidR="00834E44">
        <w:t xml:space="preserve"> E direi anche </w:t>
      </w:r>
      <w:r w:rsidR="00597CF3">
        <w:t>–</w:t>
      </w:r>
      <w:r w:rsidR="00834E44">
        <w:t xml:space="preserve"> </w:t>
      </w:r>
      <w:r w:rsidR="00D02BC6">
        <w:t xml:space="preserve">per usare il linguaggio degli economisti </w:t>
      </w:r>
      <w:r w:rsidR="00597CF3">
        <w:t xml:space="preserve">– che </w:t>
      </w:r>
      <w:r w:rsidR="00D02BC6">
        <w:t xml:space="preserve">al fondo della perequazione c’è anche quello di </w:t>
      </w:r>
      <w:r w:rsidR="00D02BC6" w:rsidRPr="00D02BC6">
        <w:rPr>
          <w:i/>
        </w:rPr>
        <w:t>sterilizzare la rendita</w:t>
      </w:r>
      <w:r w:rsidR="00D02BC6">
        <w:t>.</w:t>
      </w:r>
    </w:p>
    <w:p w:rsidR="00883B0E" w:rsidRDefault="00883B0E" w:rsidP="00883B0E">
      <w:pPr>
        <w:jc w:val="both"/>
      </w:pPr>
      <w:r>
        <w:t xml:space="preserve">Ecco perché – come vedremo – il metodo della perequazione dev’essere usato con giudizio, </w:t>
      </w:r>
      <w:proofErr w:type="spellStart"/>
      <w:r w:rsidR="00D22CFE">
        <w:rPr>
          <w:i/>
        </w:rPr>
        <w:t>cum</w:t>
      </w:r>
      <w:proofErr w:type="spellEnd"/>
      <w:r w:rsidR="00D22CFE">
        <w:rPr>
          <w:i/>
        </w:rPr>
        <w:t xml:space="preserve"> grano</w:t>
      </w:r>
      <w:r w:rsidRPr="00871340">
        <w:rPr>
          <w:i/>
        </w:rPr>
        <w:t xml:space="preserve"> </w:t>
      </w:r>
      <w:proofErr w:type="spellStart"/>
      <w:r w:rsidRPr="00871340">
        <w:rPr>
          <w:i/>
        </w:rPr>
        <w:t>salis</w:t>
      </w:r>
      <w:proofErr w:type="spellEnd"/>
      <w:r>
        <w:t xml:space="preserve">, onde evitare che le previsioni del piano perequato </w:t>
      </w:r>
      <w:proofErr w:type="gramStart"/>
      <w:r>
        <w:t>risultino</w:t>
      </w:r>
      <w:proofErr w:type="gramEnd"/>
      <w:r>
        <w:t xml:space="preserve"> inapplicabili o vessatorie.</w:t>
      </w:r>
    </w:p>
    <w:p w:rsidR="00883B0E" w:rsidRDefault="00883B0E" w:rsidP="00883B0E">
      <w:pPr>
        <w:jc w:val="both"/>
      </w:pPr>
      <w:r>
        <w:t>Prima di entrare nel merito</w:t>
      </w:r>
      <w:proofErr w:type="gramStart"/>
      <w:r>
        <w:t xml:space="preserve"> infatti</w:t>
      </w:r>
      <w:proofErr w:type="gramEnd"/>
      <w:r>
        <w:t xml:space="preserve"> è bene ricordare che l’attuazione della perequazione avviene su base volontari</w:t>
      </w:r>
      <w:r w:rsidR="003C1FF9">
        <w:t>a</w:t>
      </w:r>
      <w:r>
        <w:t xml:space="preserve"> da parte del privato, e quindi onde evitare che il piano resti piano </w:t>
      </w:r>
      <w:r w:rsidRPr="003C1FF9">
        <w:rPr>
          <w:i/>
        </w:rPr>
        <w:t>disegnato</w:t>
      </w:r>
      <w:r>
        <w:t xml:space="preserve"> e non attuato, non può sottacersi che la manovra di piano si debba basare sull’</w:t>
      </w:r>
      <w:r w:rsidRPr="00FD5925">
        <w:rPr>
          <w:i/>
        </w:rPr>
        <w:t>ascolto</w:t>
      </w:r>
      <w:r>
        <w:t xml:space="preserve"> preventivo degli interessi privati  e quindi sul dialogo tra le parti per riportare il conflitto nel procedimento e realizzare quindi quella che può chiamarsi l’urbanistica consensuale.</w:t>
      </w:r>
    </w:p>
    <w:p w:rsidR="00883B0E" w:rsidRDefault="00883B0E" w:rsidP="00883B0E">
      <w:pPr>
        <w:jc w:val="both"/>
      </w:pPr>
      <w:r>
        <w:lastRenderedPageBreak/>
        <w:t>In altre parole, o il piano nelle sue previsioni rende appetibile o conveniente la trasformazione, anche dando luogo a cessioni di aree per servizi, e se del caso al trasferimento dei diritti edificatori in altre aree, oppure – come successo per il piano regolatore di Torino – i proprietari hanno declinato gli interventi, a fronte di un riconoscimento dell’edificabilità troppo basso, sperando in un futuro cambio di amministrazione e quindi in una modifica del piano.</w:t>
      </w:r>
    </w:p>
    <w:p w:rsidR="00492138" w:rsidRDefault="00042684" w:rsidP="00883B0E">
      <w:pPr>
        <w:jc w:val="both"/>
      </w:pPr>
      <w:r>
        <w:t>E’</w:t>
      </w:r>
      <w:r w:rsidR="00883B0E">
        <w:t xml:space="preserve"> bene ricordare che il consenso è legittimazione del potere anche quando si sia di fronte ad un provvedimento amministrativo di per sé imperativo come il prg.</w:t>
      </w:r>
      <w:r>
        <w:t xml:space="preserve"> Non è un caso che dopo un periodo di</w:t>
      </w:r>
      <w:r w:rsidR="003A483E">
        <w:t xml:space="preserve"> latenza, nell’urbanistica stia</w:t>
      </w:r>
      <w:r>
        <w:t xml:space="preserve"> dilagando la pratica degli accordi di cui all’art.</w:t>
      </w:r>
      <w:proofErr w:type="gramStart"/>
      <w:r>
        <w:t>11</w:t>
      </w:r>
      <w:proofErr w:type="gramEnd"/>
      <w:r>
        <w:t xml:space="preserve"> della l.241/90</w:t>
      </w:r>
      <w:r w:rsidR="003A483E">
        <w:t xml:space="preserve"> i cui </w:t>
      </w:r>
      <w:proofErr w:type="spellStart"/>
      <w:r w:rsidR="003A483E">
        <w:t>podromi</w:t>
      </w:r>
      <w:proofErr w:type="spellEnd"/>
      <w:r w:rsidR="003A483E">
        <w:t xml:space="preserve"> sono le convenzioni urbanistiche, ma con ben altri contenuti e finalità al fine di determinare un’efficace composizione degli interessi pubblici e privati </w:t>
      </w:r>
      <w:r w:rsidR="00D15233">
        <w:t xml:space="preserve">in funzione del risultato. D’altronde, l’urbanistica non è finalistica ma strumentale al raggiungimento degli obiettivi </w:t>
      </w:r>
      <w:proofErr w:type="gramStart"/>
      <w:r w:rsidR="00D15233">
        <w:t>economico sociali</w:t>
      </w:r>
      <w:proofErr w:type="gramEnd"/>
      <w:r w:rsidR="00D15233">
        <w:t xml:space="preserve"> del piano.</w:t>
      </w:r>
    </w:p>
    <w:p w:rsidR="00883B0E" w:rsidRDefault="00492138" w:rsidP="00883B0E">
      <w:pPr>
        <w:jc w:val="both"/>
      </w:pPr>
      <w:r>
        <w:t xml:space="preserve">E nella perequazione nelle sue variegate forme l’accordo diviene l’unica </w:t>
      </w:r>
      <w:proofErr w:type="gramStart"/>
      <w:r>
        <w:t>modalità</w:t>
      </w:r>
      <w:proofErr w:type="gramEnd"/>
      <w:r>
        <w:t xml:space="preserve"> di attuazione delle prescrizioni urbanistiche.</w:t>
      </w:r>
      <w:r w:rsidR="008376F5" w:rsidRPr="008376F5">
        <w:t xml:space="preserve"> </w:t>
      </w:r>
      <w:r w:rsidR="00BC09C3">
        <w:t xml:space="preserve">Permettetemi a questo proposito di ricordare quanto </w:t>
      </w:r>
      <w:r w:rsidR="008376F5">
        <w:t xml:space="preserve">Mario </w:t>
      </w:r>
      <w:proofErr w:type="spellStart"/>
      <w:r w:rsidR="008376F5">
        <w:t>Nigro</w:t>
      </w:r>
      <w:proofErr w:type="spellEnd"/>
      <w:r w:rsidR="008376F5">
        <w:t xml:space="preserve"> affermò a chiusura di un famoso convegno </w:t>
      </w:r>
      <w:proofErr w:type="gramStart"/>
      <w:r w:rsidR="008376F5">
        <w:t>nell’</w:t>
      </w:r>
      <w:proofErr w:type="gramEnd"/>
      <w:r w:rsidR="008376F5">
        <w:t>1986</w:t>
      </w:r>
      <w:r w:rsidR="00BC09C3">
        <w:t xml:space="preserve"> proprio a Bari</w:t>
      </w:r>
      <w:r w:rsidR="008376F5">
        <w:t xml:space="preserve"> : “guardate che il potere è sempre negoziabile, sempre negoziabile, e non c’è potere più negoziabile di quello della pianificazione del territorio”.</w:t>
      </w:r>
    </w:p>
    <w:p w:rsidR="00883B0E" w:rsidRDefault="00883B0E" w:rsidP="00883B0E">
      <w:pPr>
        <w:jc w:val="both"/>
      </w:pPr>
      <w:r>
        <w:t>Detto questo sul metodo, vanno affrontati i contenuti della perequazione.</w:t>
      </w:r>
    </w:p>
    <w:p w:rsidR="00883B0E" w:rsidRDefault="00883B0E" w:rsidP="00883B0E">
      <w:pPr>
        <w:jc w:val="both"/>
      </w:pPr>
      <w:r>
        <w:t>E’ noto che nel dibattito tra urbanisti esistano due modelli già in gran parte collaudati.</w:t>
      </w:r>
    </w:p>
    <w:p w:rsidR="00883B0E" w:rsidRDefault="00883B0E" w:rsidP="00883B0E">
      <w:pPr>
        <w:jc w:val="both"/>
      </w:pPr>
      <w:proofErr w:type="gramStart"/>
      <w:r>
        <w:t xml:space="preserve">Quello della </w:t>
      </w:r>
      <w:proofErr w:type="spellStart"/>
      <w:r>
        <w:t>pererquazione</w:t>
      </w:r>
      <w:proofErr w:type="spellEnd"/>
      <w:r>
        <w:t xml:space="preserve"> parziale o a posteriori e quello della </w:t>
      </w:r>
      <w:proofErr w:type="spellStart"/>
      <w:r>
        <w:t>pererquazione</w:t>
      </w:r>
      <w:proofErr w:type="spellEnd"/>
      <w:r>
        <w:t xml:space="preserve"> generalizzata o a priori.</w:t>
      </w:r>
      <w:proofErr w:type="gramEnd"/>
    </w:p>
    <w:p w:rsidR="00883B0E" w:rsidRDefault="00883B0E" w:rsidP="00883B0E">
      <w:pPr>
        <w:jc w:val="both"/>
      </w:pPr>
      <w:r>
        <w:t>La differenza non è di poco conto perché la prima interviene in parti del territorio comunale per riequilibrare i pesi insediativi in rapporto ai servizi, specie nella città consolidata, mentre la seconda attiene all’intero territorio trasformabile.</w:t>
      </w:r>
    </w:p>
    <w:p w:rsidR="00883B0E" w:rsidRDefault="00883B0E" w:rsidP="00883B0E">
      <w:pPr>
        <w:jc w:val="both"/>
      </w:pPr>
      <w:r>
        <w:t xml:space="preserve">Personalmente propendo per il primo modello sia perché più gestibile sia perché più facilmente attuabile poiché coinvolge una limitata platea di attori ed è finalizzato essenzialmente a ricucire le parti della città che più soffrono di </w:t>
      </w:r>
      <w:proofErr w:type="gramStart"/>
      <w:r>
        <w:t>carenza</w:t>
      </w:r>
      <w:proofErr w:type="gramEnd"/>
      <w:r>
        <w:t xml:space="preserve"> di servizi e della mancata riqualificazione. In questo caso l’indagine preventiva sul territorio è assolutamente necessaria per verificare la plausibilità dell’uso collaudato dei comparti.</w:t>
      </w:r>
    </w:p>
    <w:p w:rsidR="00883B0E" w:rsidRDefault="00883B0E" w:rsidP="00883B0E">
      <w:pPr>
        <w:jc w:val="both"/>
      </w:pPr>
      <w:r>
        <w:t xml:space="preserve">Più impegnativa la perequazione generalizzata sia perché richiede tempi lunghi di elaborazione del piano sia perché comporta il coinvolgimento contemporaneo della totalità delle proprietà </w:t>
      </w:r>
      <w:r>
        <w:lastRenderedPageBreak/>
        <w:t xml:space="preserve">trasformabili la cui attuazione avrà necessariamente priorità e tempi lunghi e </w:t>
      </w:r>
      <w:proofErr w:type="gramStart"/>
      <w:r>
        <w:t>differenziati</w:t>
      </w:r>
      <w:proofErr w:type="gramEnd"/>
      <w:r>
        <w:t xml:space="preserve"> nel tempo, con la conseguenza però che dal momento del riconoscimento dell’edificabilità i proprietari sono soggetti al pagamento dell’IMU anche per svariati anni prima di poter edificare effettivamente . In breve, cosa parte prima? </w:t>
      </w:r>
      <w:proofErr w:type="gramStart"/>
      <w:r>
        <w:t xml:space="preserve">Come accordare tutti i proprietari delle aree cedenti e riceventi, come utilizzare da parte della </w:t>
      </w:r>
      <w:proofErr w:type="spellStart"/>
      <w:r>
        <w:t>pa</w:t>
      </w:r>
      <w:proofErr w:type="spellEnd"/>
      <w:r>
        <w:t xml:space="preserve"> le aree cedute, come realizzarvi i serv</w:t>
      </w:r>
      <w:proofErr w:type="gramEnd"/>
      <w:r>
        <w:t xml:space="preserve">izi. </w:t>
      </w:r>
      <w:proofErr w:type="gramStart"/>
      <w:r>
        <w:t>A meno che</w:t>
      </w:r>
      <w:proofErr w:type="gramEnd"/>
      <w:r>
        <w:t xml:space="preserve"> non si adotti nel piano perequato quello che la legge 10 del 1977 introdusse per regolare le trasformazioni nel tempo che era il programma pluriennale d’attuazione.</w:t>
      </w:r>
    </w:p>
    <w:p w:rsidR="00883B0E" w:rsidRDefault="00883B0E" w:rsidP="00883B0E">
      <w:pPr>
        <w:jc w:val="both"/>
      </w:pPr>
      <w:proofErr w:type="gramStart"/>
      <w:r>
        <w:t>Ma</w:t>
      </w:r>
      <w:proofErr w:type="gramEnd"/>
      <w:r>
        <w:t xml:space="preserve"> vi sono altri motivi tecnici non indifferenti. </w:t>
      </w:r>
    </w:p>
    <w:p w:rsidR="00883B0E" w:rsidRDefault="00883B0E" w:rsidP="00883B0E">
      <w:pPr>
        <w:jc w:val="both"/>
      </w:pPr>
      <w:proofErr w:type="gramStart"/>
      <w:r>
        <w:t xml:space="preserve">Come </w:t>
      </w:r>
      <w:proofErr w:type="gramEnd"/>
      <w:r>
        <w:t xml:space="preserve">è noto il piano a perequazione generalizzata prevede che si svolga un’opera preventiva di classificazione di tutte le aree trasformabili e sulla base di questa classificazione si assegni una diversa edificabilità virtuale, mentre la manovra del piano successivamente a tale classificazione procede a dettare le prescrizioni effettive. E’ </w:t>
      </w:r>
      <w:proofErr w:type="spellStart"/>
      <w:r>
        <w:t>altresi</w:t>
      </w:r>
      <w:proofErr w:type="spellEnd"/>
      <w:r>
        <w:t xml:space="preserve"> noto che l’ICE (ovvero l’indice di edificabilità convenzionale) dovrebbe essere molto basso per poter poi attraverso il piano prevedersi che l’edificabilità differenziale sia appannaggio della </w:t>
      </w:r>
      <w:proofErr w:type="spellStart"/>
      <w:r>
        <w:t>pa</w:t>
      </w:r>
      <w:proofErr w:type="spellEnd"/>
      <w:r>
        <w:t xml:space="preserve"> che la usa per finalità sociali.</w:t>
      </w:r>
    </w:p>
    <w:p w:rsidR="00883B0E" w:rsidRDefault="00883B0E" w:rsidP="00883B0E">
      <w:pPr>
        <w:jc w:val="both"/>
      </w:pPr>
      <w:proofErr w:type="gramStart"/>
      <w:r>
        <w:t>Ma</w:t>
      </w:r>
      <w:proofErr w:type="gramEnd"/>
      <w:r>
        <w:t xml:space="preserve"> se si sbaglia la manovra o se nel tempo quelle scelte si rivelano irrealizzabili, se l’ICE si dovesse rivelare inferiore alle attese, come modificare la manovra di piano che tende a concentrare le volumetrie solo in alcune parti del territorio? Di questi errori è testimone la sentenza Tar Lombardia per il comune di Buccinasco, piano</w:t>
      </w:r>
      <w:proofErr w:type="gramStart"/>
      <w:r>
        <w:t xml:space="preserve">  </w:t>
      </w:r>
      <w:proofErr w:type="gramEnd"/>
      <w:r>
        <w:t>annullato perché la perequazione generalizzata era irrealizzabile.</w:t>
      </w:r>
    </w:p>
    <w:p w:rsidR="00883B0E" w:rsidRDefault="00883B0E" w:rsidP="00883B0E">
      <w:pPr>
        <w:jc w:val="both"/>
      </w:pPr>
      <w:proofErr w:type="gramStart"/>
      <w:r>
        <w:t>Ma</w:t>
      </w:r>
      <w:proofErr w:type="gramEnd"/>
      <w:r>
        <w:t xml:space="preserve"> vi è un altro tema squisitamente giuridico che intendo sottoporre all’attenzione di operatori e di amministrazioni locali.</w:t>
      </w:r>
    </w:p>
    <w:p w:rsidR="00883B0E" w:rsidRDefault="00883B0E" w:rsidP="00883B0E">
      <w:pPr>
        <w:jc w:val="both"/>
      </w:pPr>
      <w:r>
        <w:t>Attravers</w:t>
      </w:r>
      <w:r w:rsidR="00285170">
        <w:t>o la perequazione generalizzata</w:t>
      </w:r>
      <w:r>
        <w:t xml:space="preserve"> si opera attraverso due atti di discrezionalità: il primo squisitamente tecnico, il secondo propriamente di discrezionalità amministrativa.</w:t>
      </w:r>
    </w:p>
    <w:p w:rsidR="00883B0E" w:rsidRDefault="00883B0E" w:rsidP="00883B0E">
      <w:pPr>
        <w:jc w:val="both"/>
      </w:pPr>
      <w:r>
        <w:t xml:space="preserve">Noi sappiamo che molte volte i piani sono sovradimensionati e che le amministrazioni procedono spesso a tagliare le volumetrie eccedenti – è accaduto con il nuovo PRG di Roma – e che in tal caso </w:t>
      </w:r>
      <w:proofErr w:type="gramStart"/>
      <w:r>
        <w:t>esercitano</w:t>
      </w:r>
      <w:proofErr w:type="gramEnd"/>
      <w:r>
        <w:t xml:space="preserve"> quello che si chiama il </w:t>
      </w:r>
      <w:proofErr w:type="spellStart"/>
      <w:r w:rsidRPr="00DB1F43">
        <w:rPr>
          <w:i/>
        </w:rPr>
        <w:t>droit</w:t>
      </w:r>
      <w:proofErr w:type="spellEnd"/>
      <w:r w:rsidRPr="00DB1F43">
        <w:rPr>
          <w:i/>
        </w:rPr>
        <w:t xml:space="preserve"> </w:t>
      </w:r>
      <w:proofErr w:type="spellStart"/>
      <w:r w:rsidRPr="00DB1F43">
        <w:rPr>
          <w:i/>
        </w:rPr>
        <w:t>muovant</w:t>
      </w:r>
      <w:proofErr w:type="spellEnd"/>
      <w:r>
        <w:rPr>
          <w:i/>
        </w:rPr>
        <w:t xml:space="preserve"> </w:t>
      </w:r>
      <w:r w:rsidRPr="00DB1F43">
        <w:t xml:space="preserve">ovvero il diritto mobile mediante il quale </w:t>
      </w:r>
      <w:r>
        <w:t>la giurisprudenza amministrativa riconosce il potere della PA di operare una diversa scelta conformativa.</w:t>
      </w:r>
    </w:p>
    <w:p w:rsidR="00883B0E" w:rsidRDefault="00883B0E" w:rsidP="00883B0E">
      <w:pPr>
        <w:jc w:val="both"/>
      </w:pPr>
      <w:r>
        <w:t xml:space="preserve">La domanda che pongo, è se sia possibile a fronte della classificazione delle aree, che residui sempre il potere discrezionale di variare la previsione urbanistica in caso di successive scelte: </w:t>
      </w:r>
      <w:proofErr w:type="gramStart"/>
      <w:r>
        <w:t>infatti</w:t>
      </w:r>
      <w:proofErr w:type="gramEnd"/>
      <w:r>
        <w:t xml:space="preserve"> una cosa è sostenere che il riconoscimento di un diritto edificatorio in alcun modo può venir meno, </w:t>
      </w:r>
      <w:proofErr w:type="spellStart"/>
      <w:r>
        <w:t>cosicchè</w:t>
      </w:r>
      <w:proofErr w:type="spellEnd"/>
      <w:r>
        <w:t xml:space="preserve"> se nelle successive fasi del procedimento di approvazione, il piano ne impedisce l’esercizio nella propria area, è </w:t>
      </w:r>
      <w:r>
        <w:lastRenderedPageBreak/>
        <w:t xml:space="preserve">onere del comune prevederne la trasferibilità in altra area di piano regolatore, altro è riconoscere all’amministrazione anche nel modello perequativo la facoltà discrezionale di rivedere successivamente </w:t>
      </w:r>
      <w:r w:rsidRPr="00003ABE">
        <w:rPr>
          <w:i/>
        </w:rPr>
        <w:t xml:space="preserve">in </w:t>
      </w:r>
      <w:proofErr w:type="spellStart"/>
      <w:r w:rsidRPr="00003ABE">
        <w:rPr>
          <w:i/>
        </w:rPr>
        <w:t>peius</w:t>
      </w:r>
      <w:proofErr w:type="spellEnd"/>
      <w:r>
        <w:t xml:space="preserve"> la trasformabilità di alcune aree, espungendole quindi dalle aree trasformabili..</w:t>
      </w:r>
    </w:p>
    <w:p w:rsidR="00883B0E" w:rsidRPr="00DB1F43" w:rsidRDefault="00883B0E" w:rsidP="00883B0E">
      <w:pPr>
        <w:jc w:val="both"/>
      </w:pPr>
      <w:r>
        <w:t xml:space="preserve">E’ certamente vero che la Corte Cost. nel 1966 affermò che la zonizzazione era </w:t>
      </w:r>
      <w:proofErr w:type="gramStart"/>
      <w:r>
        <w:t>un atto discrezionalità tecnica</w:t>
      </w:r>
      <w:proofErr w:type="gramEnd"/>
      <w:r>
        <w:t xml:space="preserve"> il che non ha impedito alle amministrazioni di rivedere l’edificabilità dei piani ed alla giustizia amministrativa di considerare tali scelte legittime, ma la domanda è se dopo la classificazione non ci si trovi di fronte ad un interesse qualificato da parte dei privati incisi dalle nuove scelte.</w:t>
      </w:r>
    </w:p>
    <w:p w:rsidR="00357063" w:rsidRDefault="00357063"/>
    <w:p w:rsidR="00357063" w:rsidRDefault="00357063"/>
    <w:p w:rsidR="00357063" w:rsidRPr="000125A0" w:rsidRDefault="00D02BC6">
      <w:pPr>
        <w:rPr>
          <w:b/>
          <w:i/>
          <w:lang w:val="en-US"/>
        </w:rPr>
      </w:pPr>
      <w:r w:rsidRPr="000125A0">
        <w:rPr>
          <w:b/>
          <w:i/>
          <w:lang w:val="en-US"/>
        </w:rPr>
        <w:t xml:space="preserve">2. </w:t>
      </w:r>
      <w:r w:rsidR="00357063" w:rsidRPr="000125A0">
        <w:rPr>
          <w:b/>
          <w:i/>
          <w:lang w:val="en-US"/>
        </w:rPr>
        <w:t xml:space="preserve">La sent. </w:t>
      </w:r>
      <w:proofErr w:type="spellStart"/>
      <w:r w:rsidR="00903EEE" w:rsidRPr="000125A0">
        <w:rPr>
          <w:b/>
          <w:i/>
          <w:lang w:val="en-US"/>
        </w:rPr>
        <w:t>CdS</w:t>
      </w:r>
      <w:proofErr w:type="spellEnd"/>
      <w:r w:rsidR="00357063" w:rsidRPr="000125A0">
        <w:rPr>
          <w:b/>
          <w:i/>
          <w:lang w:val="en-US"/>
        </w:rPr>
        <w:t xml:space="preserve"> </w:t>
      </w:r>
      <w:proofErr w:type="spellStart"/>
      <w:r w:rsidR="00357063" w:rsidRPr="000125A0">
        <w:rPr>
          <w:b/>
          <w:i/>
          <w:lang w:val="en-US"/>
        </w:rPr>
        <w:t>Sez</w:t>
      </w:r>
      <w:proofErr w:type="spellEnd"/>
      <w:r w:rsidR="00357063" w:rsidRPr="000125A0">
        <w:rPr>
          <w:b/>
          <w:i/>
          <w:lang w:val="en-US"/>
        </w:rPr>
        <w:t>. IV n.6040</w:t>
      </w:r>
      <w:r w:rsidRPr="000125A0">
        <w:rPr>
          <w:b/>
          <w:i/>
          <w:lang w:val="en-US"/>
        </w:rPr>
        <w:t>/2012.</w:t>
      </w:r>
    </w:p>
    <w:p w:rsidR="00357063" w:rsidRPr="000125A0" w:rsidRDefault="00357063">
      <w:pPr>
        <w:rPr>
          <w:lang w:val="en-US"/>
        </w:rPr>
      </w:pPr>
    </w:p>
    <w:p w:rsidR="00440A18" w:rsidRDefault="00357063" w:rsidP="0029606F">
      <w:pPr>
        <w:jc w:val="both"/>
      </w:pPr>
      <w:r>
        <w:t xml:space="preserve">E veniamo alla sentenza del </w:t>
      </w:r>
      <w:proofErr w:type="spellStart"/>
      <w:r w:rsidR="00903EEE">
        <w:t>CdS</w:t>
      </w:r>
      <w:proofErr w:type="spellEnd"/>
      <w:r>
        <w:t xml:space="preserve"> che ha rovesciato completamente </w:t>
      </w:r>
      <w:r w:rsidR="008E7954">
        <w:t xml:space="preserve">la sent. del TAR Puglia in merito alla perequazione introdotta dal piano urbanistico di </w:t>
      </w:r>
      <w:r w:rsidR="000125A0">
        <w:t>P</w:t>
      </w:r>
      <w:r w:rsidR="008E7954">
        <w:t>alo del Colle.</w:t>
      </w:r>
    </w:p>
    <w:p w:rsidR="00DB0755" w:rsidRDefault="00440A18" w:rsidP="00671AE4">
      <w:pPr>
        <w:jc w:val="both"/>
      </w:pPr>
      <w:r>
        <w:t xml:space="preserve">La sentenza </w:t>
      </w:r>
      <w:r w:rsidR="0029606F">
        <w:t xml:space="preserve">– </w:t>
      </w:r>
      <w:r>
        <w:t xml:space="preserve">come ogni </w:t>
      </w:r>
      <w:proofErr w:type="gramStart"/>
      <w:r>
        <w:t>sentenza</w:t>
      </w:r>
      <w:proofErr w:type="gramEnd"/>
      <w:r>
        <w:t xml:space="preserve"> del supremo consesso </w:t>
      </w:r>
      <w:r w:rsidR="0029606F">
        <w:t xml:space="preserve">– </w:t>
      </w:r>
      <w:r>
        <w:t xml:space="preserve">non ha effetto locale </w:t>
      </w:r>
      <w:r w:rsidR="00671AE4">
        <w:t xml:space="preserve">ma rilievo nazionale, qui in particolare per quanto riguarda i modi di conformazione della proprietà attraverso le tecniche perequative </w:t>
      </w:r>
      <w:r w:rsidR="00F91AC7">
        <w:t xml:space="preserve">da parte delle amministrazioni locali. Essa costituisce un </w:t>
      </w:r>
      <w:proofErr w:type="gramStart"/>
      <w:r w:rsidR="00F91AC7">
        <w:t>ulteriore</w:t>
      </w:r>
      <w:proofErr w:type="gramEnd"/>
      <w:r w:rsidR="00F91AC7">
        <w:t xml:space="preserve"> tassello volto a legittimare, anche in assenza di una norma nazionale quadro il principio della perequazione </w:t>
      </w:r>
      <w:r w:rsidR="00216589">
        <w:t>nella pianificazione urban</w:t>
      </w:r>
      <w:r w:rsidR="002C0BFE">
        <w:t>i</w:t>
      </w:r>
      <w:r w:rsidR="00216589">
        <w:t>s</w:t>
      </w:r>
      <w:r w:rsidR="002C0BFE">
        <w:t>ti</w:t>
      </w:r>
      <w:r w:rsidR="00216589">
        <w:t xml:space="preserve">ca. E queste sentenze sono tanto più </w:t>
      </w:r>
      <w:proofErr w:type="gramStart"/>
      <w:r w:rsidR="00216589">
        <w:t>importanti proprio</w:t>
      </w:r>
      <w:proofErr w:type="gramEnd"/>
      <w:r w:rsidR="00216589">
        <w:t xml:space="preserve"> perché il vuoto legislativo viene colmato con questi “arresti” che </w:t>
      </w:r>
      <w:r w:rsidR="00FF3DB8">
        <w:t>“</w:t>
      </w:r>
      <w:r w:rsidR="002C0BFE">
        <w:t>misurano</w:t>
      </w:r>
      <w:r w:rsidR="00FF3DB8">
        <w:t>”</w:t>
      </w:r>
      <w:r w:rsidR="002C0BFE">
        <w:t xml:space="preserve"> </w:t>
      </w:r>
      <w:r w:rsidR="00FF3DB8">
        <w:t>tali</w:t>
      </w:r>
      <w:r w:rsidR="002C0BFE">
        <w:t xml:space="preserve"> decisioni ancorandole ai principi dell’ordinamento urbanistico. E’ ormai un vero e proprio diritto giuri</w:t>
      </w:r>
      <w:r w:rsidR="00A26ECD">
        <w:t xml:space="preserve">sprudenziale e va dato atto ai </w:t>
      </w:r>
      <w:r w:rsidR="002C0BFE">
        <w:t>g</w:t>
      </w:r>
      <w:r w:rsidR="00A26ECD">
        <w:t>i</w:t>
      </w:r>
      <w:r w:rsidR="002C0BFE">
        <w:t xml:space="preserve">udici della IV sez </w:t>
      </w:r>
      <w:r w:rsidR="00A26ECD">
        <w:t xml:space="preserve">– in particolare il presidente Trotta ma anche Oberdan </w:t>
      </w:r>
      <w:proofErr w:type="spellStart"/>
      <w:r w:rsidR="00A26ECD">
        <w:t>Forlenza</w:t>
      </w:r>
      <w:proofErr w:type="spellEnd"/>
      <w:r w:rsidR="00A26ECD">
        <w:t xml:space="preserve"> e Fabio Taormina – </w:t>
      </w:r>
      <w:r w:rsidR="00AE1918">
        <w:t xml:space="preserve">di aver “sostenuto” in tutti i </w:t>
      </w:r>
      <w:proofErr w:type="gramStart"/>
      <w:r w:rsidR="00AE1918">
        <w:t>modi i</w:t>
      </w:r>
      <w:proofErr w:type="gramEnd"/>
      <w:r w:rsidR="00AE1918">
        <w:t xml:space="preserve"> nuovi processi di determinazione delle scelte urbanistiche </w:t>
      </w:r>
      <w:r w:rsidR="005977D6">
        <w:t>in funzione di un effettivo interesse pubblico delle collettività rappresentate. Ci</w:t>
      </w:r>
      <w:r w:rsidR="00903EEE">
        <w:t>to per tutti le sentenze sul PRG</w:t>
      </w:r>
      <w:r w:rsidR="005977D6">
        <w:t xml:space="preserve"> di Roma e qui quella più recente s</w:t>
      </w:r>
      <w:r w:rsidR="00DB0755">
        <w:t>ul comune di Bari.</w:t>
      </w:r>
    </w:p>
    <w:p w:rsidR="00B02A75" w:rsidRDefault="00DB0755" w:rsidP="00671AE4">
      <w:pPr>
        <w:jc w:val="both"/>
      </w:pPr>
      <w:r>
        <w:t xml:space="preserve">Si parla tanto di crisi dell’urbanistica ma come direbbe </w:t>
      </w:r>
      <w:proofErr w:type="gramStart"/>
      <w:r>
        <w:t>Giannini probabilmente</w:t>
      </w:r>
      <w:proofErr w:type="gramEnd"/>
      <w:r>
        <w:t xml:space="preserve"> si tratta di una </w:t>
      </w:r>
      <w:r w:rsidRPr="000E63A7">
        <w:rPr>
          <w:i/>
        </w:rPr>
        <w:t>crisi di crescenza</w:t>
      </w:r>
      <w:r>
        <w:t xml:space="preserve"> </w:t>
      </w:r>
      <w:r w:rsidR="000E63A7">
        <w:t xml:space="preserve">ad indicare lapidariamente come il “vestito” della legge urbanistica del ’42 </w:t>
      </w:r>
      <w:r w:rsidR="00B5218D">
        <w:t xml:space="preserve">sta troppo stretto e bisogna cambiare gli abiti </w:t>
      </w:r>
      <w:proofErr w:type="spellStart"/>
      <w:r w:rsidR="00B02A75">
        <w:t>perchè</w:t>
      </w:r>
      <w:proofErr w:type="spellEnd"/>
      <w:r w:rsidR="00B02A75">
        <w:t xml:space="preserve"> le esigenze economico sociali lo impongono a gran voce.</w:t>
      </w:r>
    </w:p>
    <w:p w:rsidR="00AE612B" w:rsidRDefault="00A26053" w:rsidP="00671AE4">
      <w:pPr>
        <w:jc w:val="both"/>
      </w:pPr>
      <w:r>
        <w:t>In breve, il logo potrebbe essere dall’</w:t>
      </w:r>
      <w:proofErr w:type="spellStart"/>
      <w:r>
        <w:t>urbanisit</w:t>
      </w:r>
      <w:r w:rsidR="00AE612B">
        <w:t>i</w:t>
      </w:r>
      <w:r w:rsidR="00AF1C71">
        <w:t>ca</w:t>
      </w:r>
      <w:proofErr w:type="spellEnd"/>
      <w:r w:rsidR="00AF1C71">
        <w:t xml:space="preserve"> autoritativa all’urbanis</w:t>
      </w:r>
      <w:r>
        <w:t xml:space="preserve">tica solidale </w:t>
      </w:r>
      <w:proofErr w:type="gramStart"/>
      <w:r>
        <w:t>li</w:t>
      </w:r>
      <w:proofErr w:type="gramEnd"/>
      <w:r>
        <w:t xml:space="preserve"> dove quest’ultimo termine </w:t>
      </w:r>
      <w:r w:rsidR="00040B74">
        <w:t>indica prepotentemente che occorre attuare fin</w:t>
      </w:r>
      <w:r w:rsidR="00274816">
        <w:t>almente il d</w:t>
      </w:r>
      <w:r w:rsidR="00040B74">
        <w:t>ettato dell’art.42 Cost. sulla funzione sociale della proprietà.</w:t>
      </w:r>
    </w:p>
    <w:p w:rsidR="00274816" w:rsidRDefault="00AE612B" w:rsidP="00671AE4">
      <w:pPr>
        <w:jc w:val="both"/>
      </w:pPr>
      <w:r>
        <w:lastRenderedPageBreak/>
        <w:t xml:space="preserve">Non so se tutti hanno compreso l’importanza delle decisioni del </w:t>
      </w:r>
      <w:r w:rsidR="00903EEE">
        <w:t>CDS</w:t>
      </w:r>
      <w:r>
        <w:t xml:space="preserve"> </w:t>
      </w:r>
      <w:r>
        <w:softHyphen/>
        <w:t xml:space="preserve"> non tanto e non solo quella che ci riguarda qui in Puglia ma mi riferisco alla sent.</w:t>
      </w:r>
      <w:r w:rsidR="00623B11">
        <w:t>2710 sul PRG di cortina che costituisce per alcuni as</w:t>
      </w:r>
      <w:r w:rsidR="00274816">
        <w:t>petti il precedente decisivo ri</w:t>
      </w:r>
      <w:r w:rsidR="00623B11">
        <w:t>s</w:t>
      </w:r>
      <w:r w:rsidR="00274816">
        <w:t>p</w:t>
      </w:r>
      <w:r w:rsidR="00623B11">
        <w:t xml:space="preserve">etto all’orientamento del </w:t>
      </w:r>
      <w:r w:rsidR="00903EEE">
        <w:t>CDS</w:t>
      </w:r>
      <w:r w:rsidR="00274816">
        <w:t>.</w:t>
      </w:r>
    </w:p>
    <w:p w:rsidR="00AF1C71" w:rsidRDefault="00AF1C71" w:rsidP="00AF1C71">
      <w:pPr>
        <w:jc w:val="both"/>
      </w:pPr>
      <w:r>
        <w:t>Ma per stare al tema p</w:t>
      </w:r>
      <w:r w:rsidR="00440A18">
        <w:t xml:space="preserve">rocedo prima a riassumere rapidamente il contenuto della sentenza per poi </w:t>
      </w:r>
      <w:r>
        <w:t xml:space="preserve">fare qualche </w:t>
      </w:r>
      <w:proofErr w:type="gramStart"/>
      <w:r>
        <w:t>considerazione ulteriore</w:t>
      </w:r>
      <w:proofErr w:type="gramEnd"/>
      <w:r>
        <w:t>.</w:t>
      </w:r>
    </w:p>
    <w:p w:rsidR="00005301" w:rsidRDefault="00AF1C71" w:rsidP="00AF1C71">
      <w:pPr>
        <w:jc w:val="both"/>
      </w:pPr>
      <w:r>
        <w:t xml:space="preserve">Ebbene la sentenza </w:t>
      </w:r>
      <w:r w:rsidR="00005301">
        <w:t>affronta tre punti:</w:t>
      </w:r>
    </w:p>
    <w:p w:rsidR="00005301" w:rsidRDefault="00005301" w:rsidP="00AF1C71">
      <w:pPr>
        <w:jc w:val="both"/>
      </w:pPr>
    </w:p>
    <w:p w:rsidR="00005301" w:rsidRDefault="00005301" w:rsidP="00AF1C71">
      <w:pPr>
        <w:jc w:val="both"/>
      </w:pPr>
      <w:r>
        <w:t>a)il concetto di vocazione edificatoria delle aree;</w:t>
      </w:r>
    </w:p>
    <w:p w:rsidR="00005301" w:rsidRDefault="00005301" w:rsidP="00AF1C71">
      <w:pPr>
        <w:jc w:val="both"/>
      </w:pPr>
      <w:r>
        <w:t>b) il criterio della zonizzazione;</w:t>
      </w:r>
    </w:p>
    <w:p w:rsidR="00EA4683" w:rsidRDefault="00005301" w:rsidP="00AF1C71">
      <w:pPr>
        <w:jc w:val="both"/>
      </w:pPr>
      <w:r>
        <w:t xml:space="preserve">c) </w:t>
      </w:r>
      <w:r w:rsidR="00EA4683">
        <w:t>la previsione del modello perequativo negli strumenti generali o attuativi di PRG</w:t>
      </w:r>
    </w:p>
    <w:p w:rsidR="00EA4683" w:rsidRDefault="00EA4683" w:rsidP="00AF1C71">
      <w:pPr>
        <w:jc w:val="both"/>
      </w:pPr>
    </w:p>
    <w:p w:rsidR="004C13B8" w:rsidRDefault="00EA4683" w:rsidP="00AF1C71">
      <w:pPr>
        <w:jc w:val="both"/>
      </w:pPr>
      <w:r>
        <w:t xml:space="preserve">Sul primo aspetto è caduto un muro </w:t>
      </w:r>
      <w:r w:rsidR="00364EC4">
        <w:t>ovvero quello per cui il comune nelle nuove scelte di pianificazione incontra tale limite che condiziona qu</w:t>
      </w:r>
      <w:r w:rsidR="007E1EBE">
        <w:t>alunque manovra urbanis</w:t>
      </w:r>
      <w:r w:rsidR="00F95383">
        <w:t>tica. L’edificabilità</w:t>
      </w:r>
      <w:r w:rsidR="004C13B8">
        <w:t xml:space="preserve"> “vocazionale”</w:t>
      </w:r>
      <w:r w:rsidR="00F95383">
        <w:t xml:space="preserve"> nelle</w:t>
      </w:r>
      <w:r w:rsidR="00364EC4">
        <w:t xml:space="preserve"> zone di completamento </w:t>
      </w:r>
      <w:r w:rsidR="00F95383">
        <w:t xml:space="preserve">costituisce un </w:t>
      </w:r>
      <w:proofErr w:type="spellStart"/>
      <w:r w:rsidR="00F95383" w:rsidRPr="00F95383">
        <w:rPr>
          <w:i/>
        </w:rPr>
        <w:t>dictat</w:t>
      </w:r>
      <w:proofErr w:type="spellEnd"/>
      <w:r w:rsidR="00F95383">
        <w:t xml:space="preserve"> per il comune dal quale non si può prescindere. Questa visione dettata da decenni in base ad un </w:t>
      </w:r>
      <w:r w:rsidR="00744768">
        <w:t xml:space="preserve">orientamento </w:t>
      </w:r>
      <w:r w:rsidR="004C13B8">
        <w:t xml:space="preserve">costante </w:t>
      </w:r>
      <w:r w:rsidR="00744768">
        <w:t xml:space="preserve">della Corte </w:t>
      </w:r>
      <w:proofErr w:type="spellStart"/>
      <w:r w:rsidR="00744768">
        <w:t>Cost</w:t>
      </w:r>
      <w:proofErr w:type="spellEnd"/>
      <w:r w:rsidR="00744768">
        <w:t>, sull’indennizzo espropriativo è stata mutuata pedissequamente all’interno delle scelte di piano, mentre la</w:t>
      </w:r>
      <w:r w:rsidR="007E1EBE">
        <w:t xml:space="preserve"> vocazione edificatoria delle are</w:t>
      </w:r>
      <w:r w:rsidR="00744768">
        <w:t xml:space="preserve">e attiene </w:t>
      </w:r>
      <w:r w:rsidR="007E1EBE">
        <w:t>al problema del ristoro in caso di espropriazione per pubblica utilità.</w:t>
      </w:r>
    </w:p>
    <w:p w:rsidR="00E565EF" w:rsidRDefault="004C13B8" w:rsidP="00AF1C71">
      <w:pPr>
        <w:jc w:val="both"/>
      </w:pPr>
      <w:r>
        <w:t xml:space="preserve">Di </w:t>
      </w:r>
      <w:proofErr w:type="spellStart"/>
      <w:r>
        <w:t>talchè</w:t>
      </w:r>
      <w:proofErr w:type="spellEnd"/>
      <w:r w:rsidR="006D7C19">
        <w:t>, sia nel caso Cortina sia per P</w:t>
      </w:r>
      <w:r>
        <w:t xml:space="preserve">alo del Colle </w:t>
      </w:r>
      <w:r w:rsidR="006873CF">
        <w:t xml:space="preserve">il </w:t>
      </w:r>
      <w:proofErr w:type="spellStart"/>
      <w:r w:rsidR="00903EEE">
        <w:t>CdS</w:t>
      </w:r>
      <w:proofErr w:type="spellEnd"/>
      <w:r w:rsidR="006873CF">
        <w:t xml:space="preserve"> ha affermato che </w:t>
      </w:r>
      <w:proofErr w:type="gramStart"/>
      <w:r w:rsidR="00633144">
        <w:t>questo</w:t>
      </w:r>
      <w:proofErr w:type="gramEnd"/>
      <w:r w:rsidR="00633144">
        <w:t xml:space="preserve"> assunto riguarda la vocazione di tipo strettamente ed</w:t>
      </w:r>
      <w:r w:rsidR="00E565EF">
        <w:t>ilizio, mentre il piano urbanis</w:t>
      </w:r>
      <w:r w:rsidR="00633144">
        <w:t xml:space="preserve">tico </w:t>
      </w:r>
      <w:r w:rsidR="00E565EF">
        <w:t>riguarda la destinazione d’uso delle aree secondo modalità che non riguardano solo l’ordinato assetto del territorio ma le finalità economico sociali delle collettività rappresentata.</w:t>
      </w:r>
    </w:p>
    <w:p w:rsidR="00C26072" w:rsidRDefault="00E565EF" w:rsidP="00AF1C71">
      <w:pPr>
        <w:jc w:val="both"/>
      </w:pPr>
      <w:r>
        <w:t xml:space="preserve">E questo “arresto” si porta dietro anche una serrata critica al criterio </w:t>
      </w:r>
      <w:proofErr w:type="gramStart"/>
      <w:r>
        <w:t>delle</w:t>
      </w:r>
      <w:proofErr w:type="gramEnd"/>
      <w:r>
        <w:t xml:space="preserve"> zonizzazione </w:t>
      </w:r>
      <w:r w:rsidR="00C26072">
        <w:t>che appa</w:t>
      </w:r>
      <w:r w:rsidR="00130782">
        <w:t>re rigido e non rispondente</w:t>
      </w:r>
      <w:r w:rsidR="00C26072">
        <w:t xml:space="preserve"> in alcuni casi alle finalità generali del piano.</w:t>
      </w:r>
    </w:p>
    <w:p w:rsidR="00B0667A" w:rsidRDefault="00C26072" w:rsidP="00AF1C71">
      <w:pPr>
        <w:jc w:val="both"/>
      </w:pPr>
      <w:r w:rsidRPr="00015BFB">
        <w:t>La zonizzazione</w:t>
      </w:r>
      <w:r w:rsidR="00015BFB">
        <w:t>,</w:t>
      </w:r>
      <w:r w:rsidRPr="00015BFB">
        <w:t xml:space="preserve"> aggiungo</w:t>
      </w:r>
      <w:r w:rsidR="00015BFB">
        <w:t xml:space="preserve"> come mia opinione,</w:t>
      </w:r>
      <w:r w:rsidRPr="00015BFB">
        <w:t xml:space="preserve"> non è un principio della materia,</w:t>
      </w:r>
      <w:r>
        <w:t xml:space="preserve"> semmai lo sono </w:t>
      </w:r>
      <w:proofErr w:type="gramStart"/>
      <w:r>
        <w:t>gli standards urbanistici e proprio</w:t>
      </w:r>
      <w:proofErr w:type="gramEnd"/>
      <w:r>
        <w:t xml:space="preserve"> in questa chiave va letta la sentenza li dove il giudice privilegia il modello perequativo in funzione della copertura effettiva delle dotazioni territoriali in caso di edificabilità </w:t>
      </w:r>
      <w:r w:rsidR="004C2C35">
        <w:t>unitaria delle aree interessate da parte dei privati.</w:t>
      </w:r>
    </w:p>
    <w:p w:rsidR="00A610C3" w:rsidRDefault="00B0667A" w:rsidP="00AF1C71">
      <w:pPr>
        <w:jc w:val="both"/>
      </w:pPr>
      <w:r>
        <w:t>In terzo luogo, ma qui il caso riguarda l’equivocità della</w:t>
      </w:r>
      <w:r w:rsidR="007976AD">
        <w:t xml:space="preserve"> legislazione pugliese, la pere</w:t>
      </w:r>
      <w:r>
        <w:t>q</w:t>
      </w:r>
      <w:r w:rsidR="007976AD">
        <w:t>u</w:t>
      </w:r>
      <w:r>
        <w:t>azione per comparti può essere dirett</w:t>
      </w:r>
      <w:r w:rsidR="00A610C3">
        <w:t>amen</w:t>
      </w:r>
      <w:r>
        <w:t xml:space="preserve">te </w:t>
      </w:r>
      <w:r w:rsidR="007976AD">
        <w:t>prevista nel PRG, senza rinvio allo strumento attuativo che in questo caso ha solo la funzione di attuare le prescrizioni del piano generale</w:t>
      </w:r>
      <w:r w:rsidR="00A610C3">
        <w:t>.</w:t>
      </w:r>
    </w:p>
    <w:p w:rsidR="00F76D72" w:rsidRDefault="00A610C3" w:rsidP="00AF1C71">
      <w:pPr>
        <w:jc w:val="both"/>
      </w:pPr>
      <w:r>
        <w:lastRenderedPageBreak/>
        <w:t>Mi pare che con questa sentenza, ma anche in quella recente di Bari</w:t>
      </w:r>
      <w:r w:rsidR="008D421D">
        <w:t xml:space="preserve"> (</w:t>
      </w:r>
      <w:proofErr w:type="spellStart"/>
      <w:r w:rsidR="00015BFB">
        <w:t>Cd</w:t>
      </w:r>
      <w:r w:rsidR="00903EEE">
        <w:t>S</w:t>
      </w:r>
      <w:proofErr w:type="spellEnd"/>
      <w:r w:rsidR="008D421D">
        <w:t xml:space="preserve"> IV 4828/012)</w:t>
      </w:r>
      <w:r>
        <w:t xml:space="preserve">, </w:t>
      </w:r>
      <w:r w:rsidR="00F8745B">
        <w:t xml:space="preserve">si sia consolidata </w:t>
      </w:r>
      <w:r w:rsidR="00F76D72">
        <w:t>l’interpretazione autentica del</w:t>
      </w:r>
      <w:r w:rsidR="00F8745B">
        <w:t>l’art.</w:t>
      </w:r>
      <w:proofErr w:type="gramStart"/>
      <w:r w:rsidR="00F8745B">
        <w:t>14</w:t>
      </w:r>
      <w:proofErr w:type="gramEnd"/>
      <w:r w:rsidR="00F8745B">
        <w:t xml:space="preserve"> della l.20 del 2000.</w:t>
      </w:r>
    </w:p>
    <w:p w:rsidR="004C2C35" w:rsidRDefault="00F76D72" w:rsidP="00AF1C71">
      <w:pPr>
        <w:jc w:val="both"/>
      </w:pPr>
      <w:r>
        <w:t xml:space="preserve">E direi anche un’altra cosa. Quella per cui i comuni </w:t>
      </w:r>
      <w:r w:rsidR="00C653E4">
        <w:t>che redigono il PU</w:t>
      </w:r>
      <w:r w:rsidR="008D421D">
        <w:t xml:space="preserve">G </w:t>
      </w:r>
      <w:proofErr w:type="gramStart"/>
      <w:r w:rsidR="00CE0798">
        <w:t>abbandonino</w:t>
      </w:r>
      <w:proofErr w:type="gramEnd"/>
      <w:r w:rsidR="00CE0798">
        <w:t xml:space="preserve"> definitivamente la zonizzazione e agiscano per </w:t>
      </w:r>
      <w:r w:rsidR="00C653E4">
        <w:t>“</w:t>
      </w:r>
      <w:r w:rsidR="00CE0798">
        <w:t>distretti perequativi</w:t>
      </w:r>
      <w:r w:rsidR="00C653E4">
        <w:t>”</w:t>
      </w:r>
      <w:r w:rsidR="00CE0798">
        <w:t xml:space="preserve"> come prevede la l.20 che</w:t>
      </w:r>
      <w:r w:rsidR="00C653E4">
        <w:t>,</w:t>
      </w:r>
      <w:r w:rsidR="00CE0798">
        <w:t xml:space="preserve"> livel</w:t>
      </w:r>
      <w:r w:rsidR="00C653E4">
        <w:t>lando l’edificabilità delle aree,</w:t>
      </w:r>
      <w:r w:rsidR="00CE0798">
        <w:t xml:space="preserve"> crea indifferenza tra proprietari ma nel contempo assicura la solidarietà di questi nel gara</w:t>
      </w:r>
      <w:r w:rsidR="00834E44">
        <w:t>n</w:t>
      </w:r>
      <w:r w:rsidR="00CE0798">
        <w:t xml:space="preserve">tire </w:t>
      </w:r>
      <w:r w:rsidR="00834E44">
        <w:t>l’urbanizzazione primaria e secondaria delle aree.</w:t>
      </w:r>
    </w:p>
    <w:p w:rsidR="001C0867" w:rsidRDefault="003D43FC" w:rsidP="00AF1C71">
      <w:pPr>
        <w:jc w:val="both"/>
      </w:pPr>
      <w:r>
        <w:t xml:space="preserve">Semmai </w:t>
      </w:r>
      <w:r w:rsidR="00DC6456">
        <w:t xml:space="preserve">nel caso </w:t>
      </w:r>
      <w:proofErr w:type="gramStart"/>
      <w:r w:rsidR="00DC6456">
        <w:t xml:space="preserve">della </w:t>
      </w:r>
      <w:proofErr w:type="gramEnd"/>
      <w:r w:rsidR="00AB101E">
        <w:t>applicazione della perequazione non può mancare la funzione</w:t>
      </w:r>
      <w:r w:rsidR="000B7927">
        <w:t xml:space="preserve"> di accompagnamento della PA </w:t>
      </w:r>
      <w:proofErr w:type="spellStart"/>
      <w:r w:rsidR="000B7927">
        <w:t>po</w:t>
      </w:r>
      <w:r w:rsidR="00AB101E">
        <w:t>ichè</w:t>
      </w:r>
      <w:proofErr w:type="spellEnd"/>
      <w:r w:rsidR="00AB101E">
        <w:t xml:space="preserve"> altrimenti il rischio che già ricordavo è quello della paralisi </w:t>
      </w:r>
      <w:r w:rsidR="000B7927">
        <w:t>del piano.</w:t>
      </w:r>
    </w:p>
    <w:p w:rsidR="001C0867" w:rsidRDefault="001C0867" w:rsidP="00AF1C71">
      <w:pPr>
        <w:jc w:val="both"/>
      </w:pPr>
    </w:p>
    <w:p w:rsidR="003D04A6" w:rsidRDefault="003D04A6" w:rsidP="00AF1C71">
      <w:pPr>
        <w:jc w:val="both"/>
        <w:rPr>
          <w:b/>
          <w:i/>
        </w:rPr>
      </w:pPr>
      <w:r w:rsidRPr="003D04A6">
        <w:rPr>
          <w:b/>
          <w:i/>
        </w:rPr>
        <w:t xml:space="preserve">3. </w:t>
      </w:r>
      <w:r w:rsidR="001C0867" w:rsidRPr="003D04A6">
        <w:rPr>
          <w:b/>
          <w:i/>
        </w:rPr>
        <w:t>La sussidiarietà orizzontale nella pianificazione urbanistica</w:t>
      </w:r>
    </w:p>
    <w:p w:rsidR="00713A6F" w:rsidRPr="003D04A6" w:rsidRDefault="00713A6F" w:rsidP="00AF1C71">
      <w:pPr>
        <w:jc w:val="both"/>
        <w:rPr>
          <w:b/>
          <w:i/>
        </w:rPr>
      </w:pPr>
    </w:p>
    <w:p w:rsidR="00D360ED" w:rsidRDefault="00713A6F" w:rsidP="00AF1C71">
      <w:pPr>
        <w:jc w:val="both"/>
      </w:pPr>
      <w:r>
        <w:t xml:space="preserve">Ma vi è un </w:t>
      </w:r>
      <w:proofErr w:type="gramStart"/>
      <w:r>
        <w:t>ulteriore</w:t>
      </w:r>
      <w:proofErr w:type="gramEnd"/>
      <w:r>
        <w:t xml:space="preserve"> elemento su cui riflettere ed è quello per cui attraverso l’attuazione per comparti l’amministrazione si limita sempre più alla funzione di </w:t>
      </w:r>
      <w:r w:rsidRPr="00632A15">
        <w:rPr>
          <w:i/>
        </w:rPr>
        <w:t>regista</w:t>
      </w:r>
      <w:r w:rsidR="00D360ED">
        <w:t xml:space="preserve"> lasciando i privati responsabili dell’attuazione integrata dell’area di riferimento perequata.</w:t>
      </w:r>
    </w:p>
    <w:p w:rsidR="003D04A6" w:rsidRDefault="0047179F" w:rsidP="00AF1C71">
      <w:pPr>
        <w:jc w:val="both"/>
      </w:pPr>
      <w:r>
        <w:t xml:space="preserve">E questo profilo </w:t>
      </w:r>
      <w:r w:rsidR="000D145F">
        <w:t xml:space="preserve">richiama il concetto di </w:t>
      </w:r>
      <w:r w:rsidR="000D145F" w:rsidRPr="00632A15">
        <w:rPr>
          <w:u w:val="single"/>
        </w:rPr>
        <w:t>sussidiarietà orizzontale</w:t>
      </w:r>
      <w:r w:rsidR="000D145F">
        <w:t xml:space="preserve"> applicabile anche alla pianificazione urbanistica poiché </w:t>
      </w:r>
      <w:proofErr w:type="gramStart"/>
      <w:r w:rsidR="004B34CD">
        <w:t>questa</w:t>
      </w:r>
      <w:proofErr w:type="gramEnd"/>
      <w:r w:rsidR="007F03C4">
        <w:t xml:space="preserve"> opera come limite all’intervento pubblico </w:t>
      </w:r>
      <w:r w:rsidR="004A0829">
        <w:t>nelle aree che possono essere efficacemente disciplinate dai privati</w:t>
      </w:r>
      <w:r w:rsidR="0064545A">
        <w:t xml:space="preserve"> che attuano non solo gli interventi ma si o</w:t>
      </w:r>
      <w:r w:rsidR="00656DA5">
        <w:t>c</w:t>
      </w:r>
      <w:r w:rsidR="0064545A">
        <w:t>cupano anche della gestione degli spazi pubblic</w:t>
      </w:r>
      <w:r w:rsidR="00656DA5">
        <w:t xml:space="preserve">i. E’ quella che si chiama oggi la </w:t>
      </w:r>
      <w:r w:rsidR="00656DA5" w:rsidRPr="00632A15">
        <w:rPr>
          <w:i/>
        </w:rPr>
        <w:t>cura civica degli spazi urbani</w:t>
      </w:r>
      <w:r w:rsidR="00656DA5">
        <w:t>, che si sta sperimentando in alcuni comuni del centro nord. In questi casi è lo stesso consorzio</w:t>
      </w:r>
      <w:r w:rsidR="000D256F">
        <w:t xml:space="preserve"> tra privati che fissa le regole della solidarietà dei proprietari nella gestione </w:t>
      </w:r>
      <w:proofErr w:type="gramStart"/>
      <w:r w:rsidR="000D256F">
        <w:t>della</w:t>
      </w:r>
      <w:proofErr w:type="gramEnd"/>
      <w:r w:rsidR="000D256F">
        <w:t xml:space="preserve"> cosa pubblica. Ri</w:t>
      </w:r>
      <w:r w:rsidR="006E215F">
        <w:t xml:space="preserve">torna in mente quel saggio di F. </w:t>
      </w:r>
      <w:r w:rsidR="000D256F">
        <w:t xml:space="preserve">Galgano scritto nel 1985, basato sulle esperienze statunitensi </w:t>
      </w:r>
      <w:proofErr w:type="gramStart"/>
      <w:r w:rsidR="000D256F">
        <w:t xml:space="preserve">intitolato </w:t>
      </w:r>
      <w:r w:rsidR="000D256F" w:rsidRPr="006E215F">
        <w:rPr>
          <w:i/>
        </w:rPr>
        <w:t xml:space="preserve">Autodisciplina </w:t>
      </w:r>
      <w:r w:rsidR="006E215F" w:rsidRPr="006E215F">
        <w:rPr>
          <w:i/>
        </w:rPr>
        <w:t>urbanistica</w:t>
      </w:r>
      <w:proofErr w:type="gramEnd"/>
      <w:r w:rsidR="008B42CC">
        <w:t xml:space="preserve"> che sollevò</w:t>
      </w:r>
      <w:r w:rsidR="006E215F">
        <w:t xml:space="preserve"> molte critiche poiché</w:t>
      </w:r>
      <w:r w:rsidR="008B42CC">
        <w:t xml:space="preserve"> l’auto</w:t>
      </w:r>
      <w:r w:rsidR="006E215F">
        <w:t xml:space="preserve">rganizzazione degli interessi privati </w:t>
      </w:r>
      <w:r w:rsidR="008B42CC">
        <w:t>si è sempre ritenuta in contrasto con l’interesse pubblico sotteso all’urbanistica.</w:t>
      </w:r>
      <w:r w:rsidR="00E50073">
        <w:t xml:space="preserve"> E’ </w:t>
      </w:r>
      <w:r w:rsidR="00B954C9">
        <w:t>qui lo strumento negoziale diventa un meccanismo di regolazione non solo di rapporti privati m</w:t>
      </w:r>
      <w:r w:rsidR="00046939">
        <w:t>a di settori di attività che possono essere rimessi</w:t>
      </w:r>
      <w:r w:rsidR="00B954C9">
        <w:t xml:space="preserve"> ai privati ogni qualvolta </w:t>
      </w:r>
      <w:proofErr w:type="gramStart"/>
      <w:r w:rsidR="00B954C9">
        <w:t>qu</w:t>
      </w:r>
      <w:r w:rsidR="00046939">
        <w:t>esti</w:t>
      </w:r>
      <w:proofErr w:type="gramEnd"/>
      <w:r w:rsidR="00046939">
        <w:t xml:space="preserve"> sono in grado di realizzarne</w:t>
      </w:r>
      <w:r w:rsidR="00B954C9">
        <w:t xml:space="preserve"> un efficiente combinazione</w:t>
      </w:r>
      <w:r w:rsidR="00046939">
        <w:t>;</w:t>
      </w:r>
      <w:r w:rsidR="002F2A94">
        <w:t xml:space="preserve"> lì</w:t>
      </w:r>
      <w:r w:rsidR="00B954C9">
        <w:t xml:space="preserve"> dove invece questa efficiente combinazione non si realizza</w:t>
      </w:r>
      <w:r w:rsidR="00903EEE">
        <w:t>.</w:t>
      </w:r>
      <w:r w:rsidR="00B954C9">
        <w:t xml:space="preserve"> </w:t>
      </w:r>
      <w:proofErr w:type="gramStart"/>
      <w:r w:rsidR="00B954C9">
        <w:t>riprende</w:t>
      </w:r>
      <w:proofErr w:type="gramEnd"/>
      <w:r w:rsidR="00B954C9">
        <w:t xml:space="preserve"> spazio il potere pubblico che se ne riappropria, e regola autoritativamente</w:t>
      </w:r>
      <w:r w:rsidR="000440DD">
        <w:t xml:space="preserve"> la materia.</w:t>
      </w:r>
    </w:p>
    <w:p w:rsidR="003D04A6" w:rsidRDefault="003D04A6" w:rsidP="00AF1C71">
      <w:pPr>
        <w:jc w:val="both"/>
      </w:pPr>
    </w:p>
    <w:p w:rsidR="003D04A6" w:rsidRPr="003D04A6" w:rsidRDefault="003D04A6" w:rsidP="00AF1C71">
      <w:pPr>
        <w:jc w:val="both"/>
        <w:rPr>
          <w:b/>
          <w:i/>
        </w:rPr>
      </w:pPr>
      <w:r w:rsidRPr="003D04A6">
        <w:rPr>
          <w:b/>
          <w:i/>
        </w:rPr>
        <w:t>4. Discrezionalità amministrativa e finalità economico sociali</w:t>
      </w:r>
    </w:p>
    <w:p w:rsidR="002F2A94" w:rsidRDefault="002F2A94" w:rsidP="00AF1C71">
      <w:pPr>
        <w:jc w:val="both"/>
      </w:pPr>
    </w:p>
    <w:p w:rsidR="00E4722F" w:rsidRDefault="000404F3" w:rsidP="00AF1C71">
      <w:pPr>
        <w:jc w:val="both"/>
      </w:pPr>
      <w:r>
        <w:t xml:space="preserve">Infine, non mi nascondo che </w:t>
      </w:r>
      <w:r w:rsidR="00437258">
        <w:t xml:space="preserve">– </w:t>
      </w:r>
      <w:r>
        <w:t xml:space="preserve">da parte di qualche interprete di questo nuovo orientamento giurisprudenziale che orienta la pianificazione </w:t>
      </w:r>
      <w:r>
        <w:lastRenderedPageBreak/>
        <w:t xml:space="preserve">urbanistica </w:t>
      </w:r>
      <w:r w:rsidR="00DE00B8">
        <w:t xml:space="preserve">verso </w:t>
      </w:r>
      <w:proofErr w:type="gramStart"/>
      <w:r w:rsidR="00DE00B8">
        <w:t>le finalità economico sociali</w:t>
      </w:r>
      <w:proofErr w:type="gramEnd"/>
      <w:r w:rsidR="00DE00B8">
        <w:t xml:space="preserve"> </w:t>
      </w:r>
      <w:r w:rsidR="00437258">
        <w:t xml:space="preserve">– </w:t>
      </w:r>
      <w:r w:rsidR="00DE00B8">
        <w:t xml:space="preserve">si possa intravedere un dilagare della discrezionalità amministrativa </w:t>
      </w:r>
      <w:r w:rsidR="00392C33">
        <w:t xml:space="preserve">già ampia nel </w:t>
      </w:r>
      <w:r w:rsidR="00392C33" w:rsidRPr="00E4722F">
        <w:rPr>
          <w:i/>
        </w:rPr>
        <w:t>quid</w:t>
      </w:r>
      <w:r w:rsidR="00392C33">
        <w:t xml:space="preserve"> e nel </w:t>
      </w:r>
      <w:proofErr w:type="spellStart"/>
      <w:r w:rsidR="00392C33" w:rsidRPr="00E4722F">
        <w:rPr>
          <w:i/>
        </w:rPr>
        <w:t>quomodo</w:t>
      </w:r>
      <w:proofErr w:type="spellEnd"/>
      <w:r w:rsidR="00392C33">
        <w:t xml:space="preserve"> che da molti si ritiene eccessiva e oggetto di possibili arbitri</w:t>
      </w:r>
      <w:r w:rsidR="00437258">
        <w:t>i</w:t>
      </w:r>
      <w:r w:rsidR="00392C33">
        <w:t>.</w:t>
      </w:r>
    </w:p>
    <w:p w:rsidR="00750A48" w:rsidRDefault="00B52C31" w:rsidP="00AF1C71">
      <w:pPr>
        <w:jc w:val="both"/>
      </w:pPr>
      <w:r>
        <w:t>I test di ragionevolezza e proporzionalità tuttavia valgono come criterio di misurazione della soddisfazione degli interessi pubblici che ormai non posso</w:t>
      </w:r>
      <w:r w:rsidR="00750A48">
        <w:t>no</w:t>
      </w:r>
      <w:r>
        <w:t xml:space="preserve"> più soccombere</w:t>
      </w:r>
      <w:r w:rsidR="00750A48">
        <w:t xml:space="preserve">, </w:t>
      </w:r>
      <w:proofErr w:type="gramStart"/>
      <w:r w:rsidR="00750A48">
        <w:t xml:space="preserve">come </w:t>
      </w:r>
      <w:proofErr w:type="gramEnd"/>
      <w:r w:rsidR="00750A48">
        <w:t>è avvenuto per anni, agli interessi della proprietà privata.</w:t>
      </w:r>
    </w:p>
    <w:p w:rsidR="00765F1E" w:rsidRDefault="00750A48" w:rsidP="00AF1C71">
      <w:pPr>
        <w:jc w:val="both"/>
      </w:pPr>
      <w:r>
        <w:t xml:space="preserve">Semmai il problema </w:t>
      </w:r>
      <w:r w:rsidR="00437258">
        <w:t xml:space="preserve">ancora </w:t>
      </w:r>
      <w:r>
        <w:t>insoluto non è quello della discrezionalità nelle scelte di pianificazione ma quello ben più grave dell’inerzia della PA</w:t>
      </w:r>
      <w:r w:rsidR="00231234">
        <w:t xml:space="preserve"> e dei tempi del procedimento che ormai sono diventati intollerabili, ma questo è un tema che esula dalle riflessioni di oggi.</w:t>
      </w:r>
      <w:r>
        <w:t xml:space="preserve"> </w:t>
      </w:r>
    </w:p>
    <w:p w:rsidR="00765F1E" w:rsidRDefault="00765F1E" w:rsidP="00765F1E">
      <w:pPr>
        <w:jc w:val="both"/>
      </w:pPr>
      <w:r>
        <w:t xml:space="preserve">Parlare di “crisi” dell’urbanistica, ha quindi senso solo se ne </w:t>
      </w:r>
      <w:proofErr w:type="gramStart"/>
      <w:r>
        <w:t>individuano</w:t>
      </w:r>
      <w:proofErr w:type="gramEnd"/>
      <w:r>
        <w:t xml:space="preserve"> i nuovi “fermenti” giuridici; direi anzi che questa sta attraversando una straordinaria stagione d’innovazioni ove, dalle mille esperienze in corso nei piani urbanistici di moltissimi comuni piccoli e grandi, le scelte di pianificazione pongono al centro sempre più gli interessi della collettività a svantaggio degli egoistici interessi proprietari.</w:t>
      </w:r>
    </w:p>
    <w:p w:rsidR="00765F1E" w:rsidRDefault="00765F1E" w:rsidP="00765F1E">
      <w:pPr>
        <w:jc w:val="both"/>
      </w:pPr>
      <w:r>
        <w:t xml:space="preserve">Si tratta di saper leggere quelle esperienze, e </w:t>
      </w:r>
      <w:proofErr w:type="spellStart"/>
      <w:r>
        <w:t>poichè</w:t>
      </w:r>
      <w:proofErr w:type="spellEnd"/>
      <w:r w:rsidRPr="00F14331">
        <w:t xml:space="preserve"> le innovazioni introdotte non trovano sistemazione nel diritto positivo </w:t>
      </w:r>
      <w:r>
        <w:t>queste</w:t>
      </w:r>
      <w:r w:rsidRPr="00F14331">
        <w:t xml:space="preserve"> emergono solo grazie alla giurisprudenza amministrativa che continuamente misura i conflitti giurisdizionali con i princi</w:t>
      </w:r>
      <w:r>
        <w:t>pi dell’ordinamento urbanistico e sempre più avalla un’urbanistica mutualistica in luogo di quella tradizionalmente autoritativa.</w:t>
      </w:r>
    </w:p>
    <w:p w:rsidR="00765F1E" w:rsidRPr="00F14331" w:rsidRDefault="00765F1E" w:rsidP="00765F1E">
      <w:pPr>
        <w:jc w:val="both"/>
      </w:pPr>
      <w:r>
        <w:t xml:space="preserve">Non cogliere questi sviluppi </w:t>
      </w:r>
      <w:proofErr w:type="gramStart"/>
      <w:r>
        <w:t>significa</w:t>
      </w:r>
      <w:proofErr w:type="gramEnd"/>
      <w:r>
        <w:t xml:space="preserve"> arroccarsi inutilmente a difesa di istituti desueti e non più rispondenti all’evolversi della società e dell’economia.</w:t>
      </w:r>
    </w:p>
    <w:p w:rsidR="00765F1E" w:rsidRDefault="00765F1E" w:rsidP="00765F1E">
      <w:pPr>
        <w:jc w:val="both"/>
      </w:pPr>
    </w:p>
    <w:p w:rsidR="00765F1E" w:rsidRPr="00F14331" w:rsidRDefault="00765F1E" w:rsidP="00765F1E">
      <w:pPr>
        <w:jc w:val="both"/>
      </w:pPr>
    </w:p>
    <w:p w:rsidR="00392C33" w:rsidRDefault="00392C33" w:rsidP="00AF1C71">
      <w:pPr>
        <w:jc w:val="both"/>
      </w:pPr>
    </w:p>
    <w:p w:rsidR="008B42CC" w:rsidRDefault="008B42CC" w:rsidP="00AF1C71">
      <w:pPr>
        <w:jc w:val="both"/>
      </w:pPr>
    </w:p>
    <w:p w:rsidR="00656DA5" w:rsidRDefault="00656DA5" w:rsidP="00AF1C71">
      <w:pPr>
        <w:jc w:val="both"/>
      </w:pPr>
    </w:p>
    <w:p w:rsidR="00656DA5" w:rsidRDefault="00656DA5" w:rsidP="00AF1C71">
      <w:pPr>
        <w:jc w:val="both"/>
      </w:pPr>
    </w:p>
    <w:p w:rsidR="003D43FC" w:rsidRDefault="00656DA5" w:rsidP="00AF1C71">
      <w:pPr>
        <w:jc w:val="both"/>
      </w:pPr>
      <w:r>
        <w:t xml:space="preserve"> </w:t>
      </w:r>
    </w:p>
    <w:p w:rsidR="00883B0E" w:rsidRDefault="00883B0E" w:rsidP="00AF1C71">
      <w:pPr>
        <w:jc w:val="both"/>
      </w:pPr>
    </w:p>
    <w:sectPr w:rsidR="00883B0E" w:rsidSect="00883B0E">
      <w:footerReference w:type="even" r:id="rId8"/>
      <w:footerReference w:type="default" r:id="rId9"/>
      <w:pgSz w:w="11900" w:h="16840"/>
      <w:pgMar w:top="2268" w:right="2829" w:bottom="2268" w:left="1701" w:header="2552" w:footer="720" w:gutter="113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93A" w:rsidRDefault="001C093A">
      <w:r>
        <w:separator/>
      </w:r>
    </w:p>
  </w:endnote>
  <w:endnote w:type="continuationSeparator" w:id="0">
    <w:p w:rsidR="001C093A" w:rsidRDefault="001C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BFB" w:rsidRDefault="00015BFB" w:rsidP="00F76D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15BFB" w:rsidRDefault="00015BFB" w:rsidP="00F76D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BFB" w:rsidRDefault="00015BFB" w:rsidP="00F76D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31DF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15BFB" w:rsidRDefault="00015BFB" w:rsidP="00F76D7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93A" w:rsidRDefault="001C093A">
      <w:r>
        <w:separator/>
      </w:r>
    </w:p>
  </w:footnote>
  <w:footnote w:type="continuationSeparator" w:id="0">
    <w:p w:rsidR="001C093A" w:rsidRDefault="001C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23CD5"/>
    <w:multiLevelType w:val="hybridMultilevel"/>
    <w:tmpl w:val="F6A259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0E"/>
    <w:rsid w:val="00005301"/>
    <w:rsid w:val="000125A0"/>
    <w:rsid w:val="00015BFB"/>
    <w:rsid w:val="000404F3"/>
    <w:rsid w:val="00040B74"/>
    <w:rsid w:val="00042684"/>
    <w:rsid w:val="000440DD"/>
    <w:rsid w:val="00046939"/>
    <w:rsid w:val="000B6454"/>
    <w:rsid w:val="000B7927"/>
    <w:rsid w:val="000D145F"/>
    <w:rsid w:val="000D256F"/>
    <w:rsid w:val="000E63A7"/>
    <w:rsid w:val="00130782"/>
    <w:rsid w:val="001C0867"/>
    <w:rsid w:val="001C093A"/>
    <w:rsid w:val="001F7D1A"/>
    <w:rsid w:val="00216589"/>
    <w:rsid w:val="00231234"/>
    <w:rsid w:val="00274816"/>
    <w:rsid w:val="00285170"/>
    <w:rsid w:val="0029606F"/>
    <w:rsid w:val="002C0BFE"/>
    <w:rsid w:val="002F2A94"/>
    <w:rsid w:val="003454FB"/>
    <w:rsid w:val="00357063"/>
    <w:rsid w:val="00364EC4"/>
    <w:rsid w:val="00392C33"/>
    <w:rsid w:val="003A483E"/>
    <w:rsid w:val="003C1FF9"/>
    <w:rsid w:val="003D04A6"/>
    <w:rsid w:val="003D43FC"/>
    <w:rsid w:val="00437258"/>
    <w:rsid w:val="00440A18"/>
    <w:rsid w:val="0047179F"/>
    <w:rsid w:val="00492138"/>
    <w:rsid w:val="004A0829"/>
    <w:rsid w:val="004B34CD"/>
    <w:rsid w:val="004C13B8"/>
    <w:rsid w:val="004C2C35"/>
    <w:rsid w:val="005977D6"/>
    <w:rsid w:val="00597CF3"/>
    <w:rsid w:val="005E30EC"/>
    <w:rsid w:val="00623B11"/>
    <w:rsid w:val="00632A15"/>
    <w:rsid w:val="00633144"/>
    <w:rsid w:val="0064545A"/>
    <w:rsid w:val="00656DA5"/>
    <w:rsid w:val="00671AE4"/>
    <w:rsid w:val="006873CF"/>
    <w:rsid w:val="006D7C19"/>
    <w:rsid w:val="006E1ED5"/>
    <w:rsid w:val="006E215F"/>
    <w:rsid w:val="00713A6F"/>
    <w:rsid w:val="00744768"/>
    <w:rsid w:val="00750A48"/>
    <w:rsid w:val="00765F1E"/>
    <w:rsid w:val="007976AD"/>
    <w:rsid w:val="007E1EBE"/>
    <w:rsid w:val="007F03C4"/>
    <w:rsid w:val="00834E44"/>
    <w:rsid w:val="008376F5"/>
    <w:rsid w:val="00883B0E"/>
    <w:rsid w:val="008B42CC"/>
    <w:rsid w:val="008D421D"/>
    <w:rsid w:val="008E7954"/>
    <w:rsid w:val="00903EEE"/>
    <w:rsid w:val="0092194A"/>
    <w:rsid w:val="009E1A97"/>
    <w:rsid w:val="00A00050"/>
    <w:rsid w:val="00A26053"/>
    <w:rsid w:val="00A26ECD"/>
    <w:rsid w:val="00A610C3"/>
    <w:rsid w:val="00A64F89"/>
    <w:rsid w:val="00AB101E"/>
    <w:rsid w:val="00AE1918"/>
    <w:rsid w:val="00AE612B"/>
    <w:rsid w:val="00AF1C71"/>
    <w:rsid w:val="00B02A75"/>
    <w:rsid w:val="00B0667A"/>
    <w:rsid w:val="00B5218D"/>
    <w:rsid w:val="00B52C31"/>
    <w:rsid w:val="00B954C9"/>
    <w:rsid w:val="00BC09C3"/>
    <w:rsid w:val="00C01796"/>
    <w:rsid w:val="00C26072"/>
    <w:rsid w:val="00C653E4"/>
    <w:rsid w:val="00CE0798"/>
    <w:rsid w:val="00D02BC6"/>
    <w:rsid w:val="00D15233"/>
    <w:rsid w:val="00D22CFE"/>
    <w:rsid w:val="00D360ED"/>
    <w:rsid w:val="00DB0755"/>
    <w:rsid w:val="00DC6456"/>
    <w:rsid w:val="00DE00B8"/>
    <w:rsid w:val="00E4722F"/>
    <w:rsid w:val="00E50073"/>
    <w:rsid w:val="00E565EF"/>
    <w:rsid w:val="00EA4683"/>
    <w:rsid w:val="00F31DFC"/>
    <w:rsid w:val="00F76D72"/>
    <w:rsid w:val="00F8745B"/>
    <w:rsid w:val="00F91AC7"/>
    <w:rsid w:val="00F95383"/>
    <w:rsid w:val="00FD5925"/>
    <w:rsid w:val="00FF3D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B0E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3B0E"/>
    <w:pPr>
      <w:ind w:left="720"/>
      <w:contextualSpacing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883B0E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3B0E"/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883B0E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83B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83B0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83B0E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uiPriority w:val="99"/>
    <w:semiHidden/>
    <w:unhideWhenUsed/>
    <w:rsid w:val="00F76D7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B0E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3B0E"/>
    <w:pPr>
      <w:ind w:left="720"/>
      <w:contextualSpacing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883B0E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3B0E"/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883B0E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83B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83B0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83B0E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uiPriority w:val="99"/>
    <w:semiHidden/>
    <w:unhideWhenUsed/>
    <w:rsid w:val="00F76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2519</Words>
  <Characters>14363</Characters>
  <Application>Microsoft Macintosh Word</Application>
  <DocSecurity>0</DocSecurity>
  <Lines>119</Lines>
  <Paragraphs>33</Paragraphs>
  <ScaleCrop>false</ScaleCrop>
  <Company/>
  <LinksUpToDate>false</LinksUpToDate>
  <CharactersWithSpaces>16849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della copia di valutazione di Office 2004</dc:creator>
  <cp:keywords/>
  <cp:lastModifiedBy>MacBook Air</cp:lastModifiedBy>
  <cp:revision>2</cp:revision>
  <cp:lastPrinted>2013-02-23T16:41:00Z</cp:lastPrinted>
  <dcterms:created xsi:type="dcterms:W3CDTF">2013-02-23T17:34:00Z</dcterms:created>
  <dcterms:modified xsi:type="dcterms:W3CDTF">2013-02-23T17:34:00Z</dcterms:modified>
</cp:coreProperties>
</file>