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N. 04634/</w:t>
      </w:r>
      <w:proofErr w:type="gramStart"/>
      <w:r w:rsidRPr="00300C32">
        <w:rPr>
          <w:rFonts w:ascii="Times" w:hAnsi="Times" w:cs="Times New Roman"/>
          <w:sz w:val="20"/>
          <w:szCs w:val="20"/>
        </w:rPr>
        <w:t>2012REG.PROV.COLL</w:t>
      </w:r>
      <w:proofErr w:type="gramEnd"/>
      <w:r w:rsidRPr="00300C32">
        <w:rPr>
          <w:rFonts w:ascii="Times" w:hAnsi="Times" w:cs="Times New Roman"/>
          <w:sz w:val="20"/>
          <w:szCs w:val="20"/>
        </w:rPr>
        <w:t>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N. 05672/2012 </w:t>
      </w:r>
      <w:proofErr w:type="gramStart"/>
      <w:r w:rsidRPr="00300C32">
        <w:rPr>
          <w:rFonts w:ascii="Times" w:hAnsi="Times" w:cs="Times New Roman"/>
          <w:sz w:val="20"/>
          <w:szCs w:val="20"/>
        </w:rPr>
        <w:t>REG.RIC</w:t>
      </w:r>
      <w:proofErr w:type="gramEnd"/>
      <w:r w:rsidRPr="00300C32">
        <w:rPr>
          <w:rFonts w:ascii="Times" w:hAnsi="Times" w:cs="Times New Roman"/>
          <w:sz w:val="20"/>
          <w:szCs w:val="20"/>
        </w:rPr>
        <w:t>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https://www.accessogiustizia.it/cds/DocumentiGA/Consiglio%20di%20Stato/Sezione%205/2012/201205672/Provvedimenti/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zione: https://www.accessogiustizia.it/cds/DocumentiGA/Consiglio%20di%20Stato/Sezione%205/2012/201205672/Provvedimenti/stemm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5JnD&#10;wPsAAADhAQAAEwAAAAAAAAAAAAAAAAAAAAAAW0NvbnRlbnRfVHlwZXNdLnhtbFBLAQItABQABgAI&#10;AAAAIQAjsmrh1wAAAJQBAAALAAAAAAAAAAAAAAAAACwBAABfcmVscy8ucmVsc1BLAQItABQABgAI&#10;AAAAIQAkEej6BQMAADoGAAAOAAAAAAAAAAAAAAAAACw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REPUBBLICA ITALIANA</w:t>
      </w:r>
      <w:proofErr w:type="gramEnd"/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IN NOME DEL POPOLO ITALIANO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Il Consiglio di Stato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in sede giurisdizionale (Sezione Quinta)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ha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pronunciato la presente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SENTENZA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ex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artt. 38 e 60 cod. proc. amm.</w:t>
      </w:r>
      <w:r w:rsidRPr="00300C32">
        <w:rPr>
          <w:rFonts w:ascii="Times" w:hAnsi="Times" w:cs="Times New Roman"/>
          <w:sz w:val="20"/>
          <w:szCs w:val="20"/>
        </w:rPr>
        <w:br/>
      </w:r>
      <w:proofErr w:type="gramStart"/>
      <w:r w:rsidRPr="00300C32">
        <w:rPr>
          <w:rFonts w:ascii="Times" w:hAnsi="Times" w:cs="Times New Roman"/>
          <w:sz w:val="20"/>
          <w:szCs w:val="20"/>
        </w:rPr>
        <w:t>sul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ricorso numero di registro generale 5672 del 2012, proposto dal comune di Comune di Andria, in persona del sindaco </w:t>
      </w:r>
      <w:r w:rsidRPr="00300C32">
        <w:rPr>
          <w:rFonts w:ascii="Times" w:hAnsi="Times" w:cs="Times New Roman"/>
          <w:i/>
          <w:iCs/>
          <w:sz w:val="20"/>
          <w:szCs w:val="20"/>
        </w:rPr>
        <w:t>pro tempore,</w:t>
      </w:r>
      <w:r w:rsidRPr="00300C32">
        <w:rPr>
          <w:rFonts w:ascii="Times" w:hAnsi="Times" w:cs="Times New Roman"/>
          <w:sz w:val="20"/>
          <w:szCs w:val="20"/>
        </w:rPr>
        <w:t xml:space="preserve"> rappresentato e difeso dall'avv.to Giuseppe De Candia, con domicilio eletto presso Enzo Augusto in Roma, viale Mazzini 73 Sc. B, </w:t>
      </w:r>
      <w:proofErr w:type="gramStart"/>
      <w:r w:rsidRPr="00300C32">
        <w:rPr>
          <w:rFonts w:ascii="Times" w:hAnsi="Times" w:cs="Times New Roman"/>
          <w:sz w:val="20"/>
          <w:szCs w:val="20"/>
        </w:rPr>
        <w:t>Int.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2; 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contro</w:t>
      </w:r>
      <w:proofErr w:type="gramEnd"/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Raffaele Ernesto; 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nei confronti </w:t>
      </w:r>
      <w:proofErr w:type="gramStart"/>
      <w:r w:rsidRPr="00300C32">
        <w:rPr>
          <w:rFonts w:ascii="Times" w:hAnsi="Times" w:cs="Times New Roman"/>
          <w:sz w:val="20"/>
          <w:szCs w:val="20"/>
        </w:rPr>
        <w:t>di</w:t>
      </w:r>
      <w:proofErr w:type="gramEnd"/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Nicola Riflettore; 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per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la riforma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della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sentenza breve del T.A.R. PUGLIA – BARI - Sezione III, n. 751 del 2012, resa tra le parti, concernente annullamento graduatoria definitiva per l'assegnazione alloggi e.r.p.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Visti il ricorso e i relativi allegati;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Visti tutti gli atti della causa;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Relatore nella camera di consiglio del giorno 28 agosto 2012 il </w:t>
      </w:r>
      <w:proofErr w:type="gramStart"/>
      <w:r w:rsidRPr="00300C32">
        <w:rPr>
          <w:rFonts w:ascii="Times" w:hAnsi="Times" w:cs="Times New Roman"/>
          <w:sz w:val="20"/>
          <w:szCs w:val="20"/>
        </w:rPr>
        <w:t>Cons.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Vito Poli e udito per la parte appellante, l’avvocato De Candia;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Sentita la parte presente ai sensi dell'art. 60 </w:t>
      </w:r>
      <w:proofErr w:type="gramStart"/>
      <w:r w:rsidRPr="00300C32">
        <w:rPr>
          <w:rFonts w:ascii="Times" w:hAnsi="Times" w:cs="Times New Roman"/>
          <w:sz w:val="20"/>
          <w:szCs w:val="20"/>
        </w:rPr>
        <w:t>cod.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proc. amm.;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Ritenuto e considerato in fatto e diritto quanto segue.</w:t>
      </w:r>
    </w:p>
    <w:p w:rsidR="00300C32" w:rsidRPr="00300C32" w:rsidRDefault="00300C32" w:rsidP="00300C32">
      <w:pPr>
        <w:rPr>
          <w:rFonts w:ascii="Times" w:eastAsia="Times New Roman" w:hAnsi="Times" w:cs="Times New Roman"/>
          <w:sz w:val="20"/>
          <w:szCs w:val="20"/>
        </w:rPr>
      </w:pP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FATTO e DIRITTO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Preso atto che: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a) oggetto del presente giudizio è la graduatoria definitiva per l’assegnazione di alloggi di edilizia residenziale pubblica nel comune di Andria approvata il 24 ottobre 2011;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lastRenderedPageBreak/>
        <w:t xml:space="preserve">b) la commissione, in sede di opposizione del sig. Ernesto Raffaele – occupante un alloggio comunale per civile abitazione, denominato casa parcheggio, ubicato a viale Virgilio n. 7, assegnato nel 2001 per un periodo massimo di un anno, non ricompreso fra quelli di edilizia residenziale pubblica perché destinato a fronteggiare situazioni temporanee di emergenza - alla graduatoria provvisoria, ha respinto la domanda di attribuzione del punteggio aggiuntivo per la </w:t>
      </w:r>
      <w:proofErr w:type="gramStart"/>
      <w:r w:rsidRPr="00300C32">
        <w:rPr>
          <w:rFonts w:ascii="Times" w:hAnsi="Times" w:cs="Times New Roman"/>
          <w:sz w:val="20"/>
          <w:szCs w:val="20"/>
        </w:rPr>
        <w:t>causale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prevista dall’art. 6, co. 1, </w:t>
      </w:r>
      <w:proofErr w:type="gramStart"/>
      <w:r w:rsidRPr="00300C32">
        <w:rPr>
          <w:rFonts w:ascii="Times" w:hAnsi="Times" w:cs="Times New Roman"/>
          <w:sz w:val="20"/>
          <w:szCs w:val="20"/>
        </w:rPr>
        <w:t>lett.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b1), l.r. n. 54 del 1984 (risiedere in un locale impropriamente adibito ad abitazione), in quanto </w:t>
      </w:r>
      <w:r w:rsidRPr="00300C32">
        <w:rPr>
          <w:rFonts w:ascii="Times" w:hAnsi="Times" w:cs="Times New Roman"/>
          <w:i/>
          <w:iCs/>
          <w:sz w:val="20"/>
          <w:szCs w:val="20"/>
        </w:rPr>
        <w:t xml:space="preserve">&lt;&lt;…l’attuale occupazione dell’alloggio parcheggio configura una situazione di occupazione senza titolo, essendo già decorso il termine di assegnazione. Si confermano punti </w:t>
      </w:r>
      <w:proofErr w:type="gramStart"/>
      <w:r w:rsidRPr="00300C32">
        <w:rPr>
          <w:rFonts w:ascii="Times" w:hAnsi="Times" w:cs="Times New Roman"/>
          <w:i/>
          <w:iCs/>
          <w:sz w:val="20"/>
          <w:szCs w:val="20"/>
        </w:rPr>
        <w:t>5</w:t>
      </w:r>
      <w:proofErr w:type="gramEnd"/>
      <w:r w:rsidRPr="00300C32">
        <w:rPr>
          <w:rFonts w:ascii="Times" w:hAnsi="Times" w:cs="Times New Roman"/>
          <w:i/>
          <w:iCs/>
          <w:sz w:val="20"/>
          <w:szCs w:val="20"/>
        </w:rPr>
        <w:t>&gt;&gt;;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c) l’impugnata sentenza, pronunciando sul ricorso </w:t>
      </w:r>
      <w:proofErr w:type="gramStart"/>
      <w:r w:rsidRPr="00300C32">
        <w:rPr>
          <w:rFonts w:ascii="Times" w:hAnsi="Times" w:cs="Times New Roman"/>
          <w:sz w:val="20"/>
          <w:szCs w:val="20"/>
        </w:rPr>
        <w:t>ed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i motivi aggiunti, ha annullato la graduatoria: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I) accogliendo il motivo basato </w:t>
      </w:r>
      <w:proofErr w:type="gramStart"/>
      <w:r w:rsidRPr="00300C32">
        <w:rPr>
          <w:rFonts w:ascii="Times" w:hAnsi="Times" w:cs="Times New Roman"/>
          <w:sz w:val="20"/>
          <w:szCs w:val="20"/>
        </w:rPr>
        <w:t xml:space="preserve">sulla 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omessa attribuzione di quattro punti per la causale prevista dall’art. 6, co. 1, </w:t>
      </w:r>
      <w:proofErr w:type="gramStart"/>
      <w:r w:rsidRPr="00300C32">
        <w:rPr>
          <w:rFonts w:ascii="Times" w:hAnsi="Times" w:cs="Times New Roman"/>
          <w:sz w:val="20"/>
          <w:szCs w:val="20"/>
        </w:rPr>
        <w:t>lett.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b1), l.r. n. 54 del 1984 (risiedere in un locale impropriamente adibito ad abitazione);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II) respingendo la censura imperniata </w:t>
      </w:r>
      <w:proofErr w:type="gramStart"/>
      <w:r w:rsidRPr="00300C32">
        <w:rPr>
          <w:rFonts w:ascii="Times" w:hAnsi="Times" w:cs="Times New Roman"/>
          <w:sz w:val="20"/>
          <w:szCs w:val="20"/>
        </w:rPr>
        <w:t xml:space="preserve">sulla 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omessa attribuzione di un punto per la causale prevista dall’art. 6, co. 1, </w:t>
      </w:r>
      <w:proofErr w:type="gramStart"/>
      <w:r w:rsidRPr="00300C32">
        <w:rPr>
          <w:rFonts w:ascii="Times" w:hAnsi="Times" w:cs="Times New Roman"/>
          <w:sz w:val="20"/>
          <w:szCs w:val="20"/>
        </w:rPr>
        <w:t>lett.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b4), l.r. n. 54 del 1984 (tale capo non è stato impugnato ed è coperto dalla forza del giudicato interno);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d) l’appello del comune è stato proposto ritualmente e sono stati rispettati i termini a difesa stabiliti dagli artt. 55 e </w:t>
      </w:r>
      <w:proofErr w:type="gramStart"/>
      <w:r w:rsidRPr="00300C32">
        <w:rPr>
          <w:rFonts w:ascii="Times" w:hAnsi="Times" w:cs="Times New Roman"/>
          <w:sz w:val="20"/>
          <w:szCs w:val="20"/>
        </w:rPr>
        <w:t>60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c.p.a.;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Considerato che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l’appello proposto dal comune è fondato in quanto: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e) il sig. Ernesto ha chiesto il punteggio per la </w:t>
      </w:r>
      <w:proofErr w:type="gramStart"/>
      <w:r w:rsidRPr="00300C32">
        <w:rPr>
          <w:rFonts w:ascii="Times" w:hAnsi="Times" w:cs="Times New Roman"/>
          <w:sz w:val="20"/>
          <w:szCs w:val="20"/>
        </w:rPr>
        <w:t>causale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di cui alla lettera b1) per la prima volta in sede di opposizione alla graduatoria provvisoria e non in sede di redazione della domanda di partecipazione alla selezione;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f) è pacifico che il sig. Ernesto </w:t>
      </w:r>
      <w:proofErr w:type="gramStart"/>
      <w:r w:rsidRPr="00300C32">
        <w:rPr>
          <w:rFonts w:ascii="Times" w:hAnsi="Times" w:cs="Times New Roman"/>
          <w:sz w:val="20"/>
          <w:szCs w:val="20"/>
        </w:rPr>
        <w:t>occupa abusivamente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il locale di viale Virigilio 7 sin dal 2002 e che risulta moroso al pagamento del canone pattuito nella relativa convenzione;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g) contrariamente a quanto affermato dal </w:t>
      </w:r>
      <w:proofErr w:type="gramStart"/>
      <w:r w:rsidRPr="00300C32">
        <w:rPr>
          <w:rFonts w:ascii="Times" w:hAnsi="Times" w:cs="Times New Roman"/>
          <w:sz w:val="20"/>
          <w:szCs w:val="20"/>
        </w:rPr>
        <w:t>T.a.r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., risulta </w:t>
      </w:r>
      <w:r w:rsidRPr="00300C32">
        <w:rPr>
          <w:rFonts w:ascii="Times" w:hAnsi="Times" w:cs="Times New Roman"/>
          <w:i/>
          <w:iCs/>
          <w:sz w:val="20"/>
          <w:szCs w:val="20"/>
        </w:rPr>
        <w:t>per tabulas,</w:t>
      </w:r>
      <w:r w:rsidRPr="00300C32">
        <w:rPr>
          <w:rFonts w:ascii="Times" w:hAnsi="Times" w:cs="Times New Roman"/>
          <w:sz w:val="20"/>
          <w:szCs w:val="20"/>
        </w:rPr>
        <w:t xml:space="preserve"> che il comune ha coltivato idonee iniziative per la regolarizzazione della posizione del sig. Ernesto (due diffide comunicate rispettivamente nel 2002 e nel 2006 ed un atto di citazione davanti al Tribunale civile, notificato nel 2009, per ottenere il rilascio dell’immobile occupato abusivamente).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P.Q.M.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 xml:space="preserve">Il Consiglio di Stato in sede giurisdizionale (Sezione Quinta), definitivamente pronunciando sul ricorso, come in </w:t>
      </w:r>
      <w:proofErr w:type="gramStart"/>
      <w:r w:rsidRPr="00300C32">
        <w:rPr>
          <w:rFonts w:ascii="Times" w:hAnsi="Times" w:cs="Times New Roman"/>
          <w:sz w:val="20"/>
          <w:szCs w:val="20"/>
        </w:rPr>
        <w:t>epigrafe proposto</w:t>
      </w:r>
      <w:proofErr w:type="gramEnd"/>
      <w:r w:rsidRPr="00300C32">
        <w:rPr>
          <w:rFonts w:ascii="Times" w:hAnsi="Times" w:cs="Times New Roman"/>
          <w:sz w:val="20"/>
          <w:szCs w:val="20"/>
        </w:rPr>
        <w:t>: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a) accoglie l’appello e per l’effetto, in parziale riforma dell’impugnata sentenza, respinge</w:t>
      </w:r>
      <w:r w:rsidRPr="00300C32">
        <w:rPr>
          <w:rFonts w:ascii="Times" w:hAnsi="Times" w:cs="Times New Roman"/>
          <w:i/>
          <w:iCs/>
          <w:sz w:val="20"/>
          <w:szCs w:val="20"/>
        </w:rPr>
        <w:t xml:space="preserve"> in toto</w:t>
      </w:r>
      <w:r w:rsidRPr="00300C32">
        <w:rPr>
          <w:rFonts w:ascii="Times" w:hAnsi="Times" w:cs="Times New Roman"/>
          <w:sz w:val="20"/>
          <w:szCs w:val="20"/>
        </w:rPr>
        <w:t xml:space="preserve"> il ricorso di primo grado proposto dal sig. Raffaele Ernesto;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b) dichiara integralmente compensate fra le parti le spese di ambedue i gradi di giudizio.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Ordina che la presente sentenza sia eseguita dall'autorità amministrativa.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Così deciso in Roma nella camera di consiglio del giorno 28 agosto 2012 con l'intervento dei magistrati: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Stefano Baccarini, Presidente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Vito Poli, Consigliere, Estensore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Manfredo Atzeni, Consigliere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Nicola Gaviano, Consigliere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Fabio Franconiero, Consigliere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123"/>
        <w:gridCol w:w="5021"/>
      </w:tblGrid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IL PRESIDENTE</w:t>
            </w: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300C32" w:rsidRPr="00300C32" w:rsidTr="00300C32"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00C32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0C32" w:rsidRPr="00300C32" w:rsidRDefault="00300C32" w:rsidP="00300C3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DEPOSITATA IN SEGRETERIA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Il 29/08/2012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00C32">
        <w:rPr>
          <w:rFonts w:ascii="Times" w:hAnsi="Times" w:cs="Times New Roman"/>
          <w:sz w:val="20"/>
          <w:szCs w:val="20"/>
        </w:rPr>
        <w:t>IL SEGRETARIO</w:t>
      </w:r>
    </w:p>
    <w:p w:rsidR="00300C32" w:rsidRPr="00300C32" w:rsidRDefault="00300C32" w:rsidP="00300C3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300C32">
        <w:rPr>
          <w:rFonts w:ascii="Times" w:hAnsi="Times" w:cs="Times New Roman"/>
          <w:sz w:val="20"/>
          <w:szCs w:val="20"/>
        </w:rPr>
        <w:t>(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Art. 89, co. 3, </w:t>
      </w:r>
      <w:proofErr w:type="gramStart"/>
      <w:r w:rsidRPr="00300C32">
        <w:rPr>
          <w:rFonts w:ascii="Times" w:hAnsi="Times" w:cs="Times New Roman"/>
          <w:sz w:val="20"/>
          <w:szCs w:val="20"/>
        </w:rPr>
        <w:t>cod.</w:t>
      </w:r>
      <w:proofErr w:type="gramEnd"/>
      <w:r w:rsidRPr="00300C32">
        <w:rPr>
          <w:rFonts w:ascii="Times" w:hAnsi="Times" w:cs="Times New Roman"/>
          <w:sz w:val="20"/>
          <w:szCs w:val="20"/>
        </w:rPr>
        <w:t xml:space="preserve"> proc. amm.)</w:t>
      </w:r>
    </w:p>
    <w:p w:rsidR="00973D40" w:rsidRDefault="00973D40">
      <w:bookmarkStart w:id="0" w:name="_GoBack"/>
      <w:bookmarkEnd w:id="0"/>
    </w:p>
    <w:sectPr w:rsidR="00973D40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32"/>
    <w:rsid w:val="00300C32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ubblica">
    <w:name w:val="repubblica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nnome">
    <w:name w:val="innome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ezione">
    <w:name w:val="sezione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bula">
    <w:name w:val="tabula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opolo">
    <w:name w:val="popolo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tro">
    <w:name w:val="contro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atto">
    <w:name w:val="fatto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pubblica">
    <w:name w:val="repubblica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nnome">
    <w:name w:val="innome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ezione">
    <w:name w:val="sezione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bula">
    <w:name w:val="tabula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opolo">
    <w:name w:val="popolo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tro">
    <w:name w:val="contro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atto">
    <w:name w:val="fatto"/>
    <w:basedOn w:val="Normale"/>
    <w:rsid w:val="00300C3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3817</Characters>
  <Application>Microsoft Macintosh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2013-03-03T09:50:00Z</dcterms:created>
  <dcterms:modified xsi:type="dcterms:W3CDTF">2013-03-03T09:51:00Z</dcterms:modified>
</cp:coreProperties>
</file>