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0B7" w:rsidRDefault="006F30B7" w:rsidP="006F30B7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05010/2012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REG.PROV.CAU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6F30B7" w:rsidRDefault="006F30B7" w:rsidP="006F30B7">
      <w:pPr>
        <w:widowControl w:val="0"/>
        <w:autoSpaceDE w:val="0"/>
        <w:autoSpaceDN w:val="0"/>
        <w:adjustRightInd w:val="0"/>
        <w:spacing w:after="280"/>
        <w:jc w:val="right"/>
        <w:rPr>
          <w:rFonts w:ascii="Times" w:hAnsi="Times" w:cs="Times"/>
          <w:b/>
          <w:bCs/>
          <w:sz w:val="30"/>
          <w:szCs w:val="30"/>
        </w:rPr>
      </w:pPr>
      <w:r>
        <w:rPr>
          <w:rFonts w:ascii="Times" w:hAnsi="Times" w:cs="Times"/>
          <w:b/>
          <w:bCs/>
          <w:sz w:val="30"/>
          <w:szCs w:val="30"/>
        </w:rPr>
        <w:t xml:space="preserve">N. 09033/2012 </w:t>
      </w:r>
      <w:proofErr w:type="gramStart"/>
      <w:r>
        <w:rPr>
          <w:rFonts w:ascii="Times" w:hAnsi="Times" w:cs="Times"/>
          <w:b/>
          <w:bCs/>
          <w:sz w:val="30"/>
          <w:szCs w:val="30"/>
        </w:rPr>
        <w:t>REG.RIC</w:t>
      </w:r>
      <w:proofErr w:type="gramEnd"/>
      <w:r>
        <w:rPr>
          <w:rFonts w:ascii="Times" w:hAnsi="Times" w:cs="Times"/>
          <w:b/>
          <w:bCs/>
          <w:sz w:val="30"/>
          <w:szCs w:val="30"/>
        </w:rPr>
        <w:t>.</w:t>
      </w:r>
    </w:p>
    <w:p w:rsidR="006F30B7" w:rsidRDefault="006F30B7" w:rsidP="006F30B7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r>
        <w:rPr>
          <w:rFonts w:ascii="Garamond" w:hAnsi="Garamond" w:cs="Garamond"/>
          <w:b/>
          <w:bCs/>
          <w:noProof/>
          <w:spacing w:val="200"/>
          <w:kern w:val="1"/>
          <w:sz w:val="32"/>
          <w:szCs w:val="32"/>
        </w:rPr>
        <w:drawing>
          <wp:inline distT="0" distB="0" distL="0" distR="0">
            <wp:extent cx="965200" cy="1109345"/>
            <wp:effectExtent l="0" t="0" r="0" b="825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5200" cy="1109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30B7" w:rsidRDefault="006F30B7" w:rsidP="006F30B7">
      <w:pPr>
        <w:widowControl w:val="0"/>
        <w:autoSpaceDE w:val="0"/>
        <w:autoSpaceDN w:val="0"/>
        <w:adjustRightInd w:val="0"/>
        <w:spacing w:after="320"/>
        <w:jc w:val="center"/>
        <w:rPr>
          <w:rFonts w:ascii="Garamond" w:hAnsi="Garamond" w:cs="Garamond"/>
          <w:b/>
          <w:bCs/>
          <w:spacing w:val="200"/>
          <w:kern w:val="1"/>
          <w:sz w:val="32"/>
          <w:szCs w:val="32"/>
        </w:rPr>
      </w:pPr>
      <w:proofErr w:type="gramStart"/>
      <w:r>
        <w:rPr>
          <w:rFonts w:ascii="Garamond" w:hAnsi="Garamond" w:cs="Garamond"/>
          <w:b/>
          <w:bCs/>
          <w:spacing w:val="200"/>
          <w:kern w:val="1"/>
          <w:sz w:val="32"/>
          <w:szCs w:val="32"/>
        </w:rPr>
        <w:t>REPUBBLICA ITALIANA</w:t>
      </w:r>
      <w:proofErr w:type="gramEnd"/>
    </w:p>
    <w:p w:rsidR="006F30B7" w:rsidRDefault="006F30B7" w:rsidP="006F30B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Consiglio di Stato</w:t>
      </w:r>
    </w:p>
    <w:p w:rsidR="006F30B7" w:rsidRDefault="006F30B7" w:rsidP="006F30B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in sede giurisdizionale (Sezione Quinta)</w:t>
      </w: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Il Consigliere delegato</w:t>
      </w:r>
    </w:p>
    <w:p w:rsidR="006F30B7" w:rsidRDefault="006F30B7" w:rsidP="006F30B7">
      <w:pPr>
        <w:widowControl w:val="0"/>
        <w:autoSpaceDE w:val="0"/>
        <w:autoSpaceDN w:val="0"/>
        <w:adjustRightInd w:val="0"/>
        <w:ind w:firstLine="740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ha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pronunciato il presente</w:t>
      </w:r>
    </w:p>
    <w:p w:rsidR="006F30B7" w:rsidRDefault="006F30B7" w:rsidP="006F30B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spacing w:after="340"/>
        <w:jc w:val="center"/>
        <w:rPr>
          <w:rFonts w:ascii="Garamond" w:hAnsi="Garamond" w:cs="Garamond"/>
          <w:b/>
          <w:bCs/>
          <w:kern w:val="1"/>
          <w:sz w:val="34"/>
          <w:szCs w:val="34"/>
        </w:rPr>
      </w:pPr>
      <w:r>
        <w:rPr>
          <w:rFonts w:ascii="Garamond" w:hAnsi="Garamond" w:cs="Garamond"/>
          <w:b/>
          <w:bCs/>
          <w:kern w:val="1"/>
          <w:sz w:val="34"/>
          <w:szCs w:val="34"/>
        </w:rPr>
        <w:t>DECRETO</w:t>
      </w:r>
    </w:p>
    <w:p w:rsidR="006F30B7" w:rsidRDefault="006F30B7" w:rsidP="006F30B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sul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ricorso numero di registro generale 9033 del 2012, proposto dalla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Ingross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Levante Spa, rappresentata e difesa dall'avv. Fulvio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Mastroviti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, con domicilio eletto presso Andrea Botti in Roma, via Monte Santo 25; 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contro</w:t>
      </w:r>
      <w:proofErr w:type="gramEnd"/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Comune di Molfetta; 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nei confronti </w:t>
      </w: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di</w:t>
      </w:r>
      <w:proofErr w:type="gramEnd"/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Happy Casa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Store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Srl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; 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i/>
          <w:iCs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i/>
          <w:iCs/>
          <w:kern w:val="1"/>
          <w:sz w:val="40"/>
          <w:szCs w:val="40"/>
        </w:rPr>
        <w:t>per</w:t>
      </w:r>
      <w:proofErr w:type="gramEnd"/>
      <w:r>
        <w:rPr>
          <w:rFonts w:ascii="Garamond" w:hAnsi="Garamond" w:cs="Garamond"/>
          <w:i/>
          <w:iCs/>
          <w:kern w:val="1"/>
          <w:sz w:val="40"/>
          <w:szCs w:val="40"/>
        </w:rPr>
        <w:t xml:space="preserve"> la riforma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lastRenderedPageBreak/>
        <w:t>dell'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ordinanza cautelare del T.A.R. PUGLIA – BARI, SEZIONE II, n. 928/2012, resa tra le parti, concernente revoca autorizzazione per struttura vendita al dettaglio –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mcp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..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Visti il ricorso in appello e i relativi allegati;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Vista l'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di misure cautelari monocratiche proposta dalla ricorrente, ai sensi degli artt. 56 e 98, co. 1,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.;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alle esigenze prospettate dall’appellante si contrappongono quelle, speculari, della società appellata;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Rilevato che, benché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 xml:space="preserve">i titoli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autorizzatori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 oggetto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della revoca impugnata siano stati rilasciati nel lontano gennaio del 2008, l’attività commerciale dell’appellante sarebbe stata avviata in sito solo lo scorso mese di novembre;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Considerato che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in questo contesto non sussistono gli estremi di una condizione di estrema gravità ed urgenza, tale da non potersi attendere la trattazione della domanda cautelare nella competente sede collegiale;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P.Q.M.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Respinge l’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istanza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>.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Fissa, per la discussione, la Camera di consiglio del 29 gennaio 2012.</w:t>
      </w:r>
      <w:proofErr w:type="gramEnd"/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 xml:space="preserve">Il presente decreto sarà eseguito dall'Amministrazione ed è depositato presso la Segreteria della Sezione che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provvederà a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darne comunicazione alle parti.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Così deciso in Roma il giorno 20 dicembre 2012.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jc w:val="both"/>
        <w:rPr>
          <w:rFonts w:ascii="Garamond" w:hAnsi="Garamond" w:cs="Garamond"/>
          <w:kern w:val="1"/>
          <w:sz w:val="40"/>
          <w:szCs w:val="40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spacing w:after="32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tbl>
      <w:tblPr>
        <w:tblW w:w="240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7041"/>
        <w:gridCol w:w="17019"/>
      </w:tblGrid>
      <w:tr w:rsidR="006F30B7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30B7" w:rsidRDefault="006F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30B7" w:rsidRDefault="006F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Il Consigliere delegato</w:t>
            </w:r>
          </w:p>
        </w:tc>
      </w:tr>
      <w:tr w:rsidR="006F30B7">
        <w:tblPrEx>
          <w:tblCellMar>
            <w:top w:w="0" w:type="dxa"/>
            <w:bottom w:w="0" w:type="dxa"/>
          </w:tblCellMar>
        </w:tblPrEx>
        <w:tc>
          <w:tcPr>
            <w:tcW w:w="700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30B7" w:rsidRDefault="006F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 </w:t>
            </w:r>
          </w:p>
        </w:tc>
        <w:tc>
          <w:tcPr>
            <w:tcW w:w="16920" w:type="dxa"/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6F30B7" w:rsidRDefault="006F30B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</w:pPr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 xml:space="preserve">Nicola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kern w:val="1"/>
                <w:sz w:val="38"/>
                <w:szCs w:val="38"/>
              </w:rPr>
              <w:t>Gaviano</w:t>
            </w:r>
            <w:proofErr w:type="spellEnd"/>
          </w:p>
        </w:tc>
      </w:tr>
    </w:tbl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6F30B7" w:rsidRDefault="006F30B7" w:rsidP="006F30B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DEPOSITATO IN SEGRETERIA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20/12/2012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r>
        <w:rPr>
          <w:rFonts w:ascii="Garamond" w:hAnsi="Garamond" w:cs="Garamond"/>
          <w:kern w:val="1"/>
          <w:sz w:val="40"/>
          <w:szCs w:val="40"/>
        </w:rPr>
        <w:t>IL SEGRETARIO</w:t>
      </w:r>
    </w:p>
    <w:p w:rsidR="006F30B7" w:rsidRDefault="006F30B7" w:rsidP="006F30B7">
      <w:pPr>
        <w:widowControl w:val="0"/>
        <w:autoSpaceDE w:val="0"/>
        <w:autoSpaceDN w:val="0"/>
        <w:adjustRightInd w:val="0"/>
        <w:jc w:val="center"/>
        <w:rPr>
          <w:rFonts w:ascii="Garamond" w:hAnsi="Garamond" w:cs="Garamond"/>
          <w:kern w:val="1"/>
          <w:sz w:val="40"/>
          <w:szCs w:val="40"/>
        </w:rPr>
      </w:pPr>
      <w:proofErr w:type="gramStart"/>
      <w:r>
        <w:rPr>
          <w:rFonts w:ascii="Garamond" w:hAnsi="Garamond" w:cs="Garamond"/>
          <w:kern w:val="1"/>
          <w:sz w:val="40"/>
          <w:szCs w:val="40"/>
        </w:rPr>
        <w:t>(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Art. 89, co. 3, </w:t>
      </w:r>
      <w:proofErr w:type="gramStart"/>
      <w:r>
        <w:rPr>
          <w:rFonts w:ascii="Garamond" w:hAnsi="Garamond" w:cs="Garamond"/>
          <w:kern w:val="1"/>
          <w:sz w:val="40"/>
          <w:szCs w:val="40"/>
        </w:rPr>
        <w:t>cod.</w:t>
      </w:r>
      <w:proofErr w:type="gramEnd"/>
      <w:r>
        <w:rPr>
          <w:rFonts w:ascii="Garamond" w:hAnsi="Garamond" w:cs="Garamond"/>
          <w:kern w:val="1"/>
          <w:sz w:val="40"/>
          <w:szCs w:val="40"/>
        </w:rPr>
        <w:t xml:space="preserve">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proc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 xml:space="preserve">. </w:t>
      </w:r>
      <w:proofErr w:type="spellStart"/>
      <w:r>
        <w:rPr>
          <w:rFonts w:ascii="Garamond" w:hAnsi="Garamond" w:cs="Garamond"/>
          <w:kern w:val="1"/>
          <w:sz w:val="40"/>
          <w:szCs w:val="40"/>
        </w:rPr>
        <w:t>amm</w:t>
      </w:r>
      <w:proofErr w:type="spellEnd"/>
      <w:r>
        <w:rPr>
          <w:rFonts w:ascii="Garamond" w:hAnsi="Garamond" w:cs="Garamond"/>
          <w:kern w:val="1"/>
          <w:sz w:val="40"/>
          <w:szCs w:val="40"/>
        </w:rPr>
        <w:t>.)</w:t>
      </w:r>
    </w:p>
    <w:p w:rsidR="006F30B7" w:rsidRDefault="006F30B7" w:rsidP="006F30B7">
      <w:pPr>
        <w:widowControl w:val="0"/>
        <w:autoSpaceDE w:val="0"/>
        <w:autoSpaceDN w:val="0"/>
        <w:adjustRightInd w:val="0"/>
        <w:rPr>
          <w:rFonts w:ascii="Times" w:hAnsi="Times" w:cs="Times"/>
          <w:kern w:val="1"/>
          <w:sz w:val="32"/>
          <w:szCs w:val="32"/>
        </w:rPr>
      </w:pPr>
    </w:p>
    <w:p w:rsidR="00973D40" w:rsidRDefault="00973D40">
      <w:bookmarkStart w:id="0" w:name="_GoBack"/>
      <w:bookmarkEnd w:id="0"/>
    </w:p>
    <w:sectPr w:rsidR="00973D40" w:rsidSect="00FC509F">
      <w:pgSz w:w="12240" w:h="15840"/>
      <w:pgMar w:top="1417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283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0B7"/>
    <w:rsid w:val="006F30B7"/>
    <w:rsid w:val="00973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69AFCD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30B7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F30B7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6F30B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277</Words>
  <Characters>1584</Characters>
  <Application>Microsoft Macintosh Word</Application>
  <DocSecurity>0</DocSecurity>
  <Lines>13</Lines>
  <Paragraphs>3</Paragraphs>
  <ScaleCrop>false</ScaleCrop>
  <Company/>
  <LinksUpToDate>false</LinksUpToDate>
  <CharactersWithSpaces>1858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MacBook Air</dc:creator>
  <cp:keywords/>
  <dc:description/>
  <cp:lastModifiedBy>MacBook Air</cp:lastModifiedBy>
  <cp:revision>1</cp:revision>
  <dcterms:created xsi:type="dcterms:W3CDTF">2013-01-06T17:16:00Z</dcterms:created>
  <dcterms:modified xsi:type="dcterms:W3CDTF">2013-01-06T17:16:00Z</dcterms:modified>
</cp:coreProperties>
</file>