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6A" w:rsidRDefault="00DD746A" w:rsidP="00DD746A">
      <w:pPr>
        <w:widowControl w:val="0"/>
        <w:autoSpaceDE w:val="0"/>
        <w:autoSpaceDN w:val="0"/>
        <w:adjustRightInd w:val="0"/>
        <w:spacing w:after="280"/>
        <w:jc w:val="right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 xml:space="preserve">N. 04710/2012 </w:t>
      </w:r>
      <w:proofErr w:type="gramStart"/>
      <w:r>
        <w:rPr>
          <w:rFonts w:ascii="Times" w:hAnsi="Times" w:cs="Times"/>
          <w:b/>
          <w:bCs/>
          <w:sz w:val="30"/>
          <w:szCs w:val="30"/>
        </w:rPr>
        <w:t>REG.PROV.CAU</w:t>
      </w:r>
      <w:proofErr w:type="gramEnd"/>
      <w:r>
        <w:rPr>
          <w:rFonts w:ascii="Times" w:hAnsi="Times" w:cs="Times"/>
          <w:b/>
          <w:bCs/>
          <w:sz w:val="30"/>
          <w:szCs w:val="30"/>
        </w:rPr>
        <w:t>.</w:t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280"/>
        <w:jc w:val="right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 xml:space="preserve">N. 07942/2012 </w:t>
      </w:r>
      <w:proofErr w:type="gramStart"/>
      <w:r>
        <w:rPr>
          <w:rFonts w:ascii="Times" w:hAnsi="Times" w:cs="Times"/>
          <w:b/>
          <w:bCs/>
          <w:sz w:val="30"/>
          <w:szCs w:val="30"/>
        </w:rPr>
        <w:t>REG.RIC</w:t>
      </w:r>
      <w:proofErr w:type="gramEnd"/>
      <w:r>
        <w:rPr>
          <w:rFonts w:ascii="Times" w:hAnsi="Times" w:cs="Times"/>
          <w:b/>
          <w:bCs/>
          <w:sz w:val="30"/>
          <w:szCs w:val="30"/>
        </w:rPr>
        <w:t>.           </w:t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jc w:val="center"/>
        <w:rPr>
          <w:rFonts w:ascii="Garamond" w:hAnsi="Garamond" w:cs="Garamond"/>
          <w:b/>
          <w:bCs/>
          <w:spacing w:val="200"/>
          <w:kern w:val="1"/>
          <w:sz w:val="32"/>
          <w:szCs w:val="32"/>
        </w:rPr>
      </w:pPr>
      <w:r>
        <w:rPr>
          <w:rFonts w:ascii="Garamond" w:hAnsi="Garamond" w:cs="Garamond"/>
          <w:b/>
          <w:bCs/>
          <w:noProof/>
          <w:spacing w:val="200"/>
          <w:kern w:val="1"/>
          <w:sz w:val="32"/>
          <w:szCs w:val="32"/>
        </w:rPr>
        <w:drawing>
          <wp:inline distT="0" distB="0" distL="0" distR="0">
            <wp:extent cx="965200" cy="1104900"/>
            <wp:effectExtent l="0" t="0" r="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jc w:val="center"/>
        <w:rPr>
          <w:rFonts w:ascii="Garamond" w:hAnsi="Garamond" w:cs="Garamond"/>
          <w:b/>
          <w:bCs/>
          <w:spacing w:val="200"/>
          <w:kern w:val="1"/>
          <w:sz w:val="32"/>
          <w:szCs w:val="32"/>
        </w:rPr>
      </w:pPr>
      <w:proofErr w:type="gramStart"/>
      <w:r>
        <w:rPr>
          <w:rFonts w:ascii="Garamond" w:hAnsi="Garamond" w:cs="Garamond"/>
          <w:b/>
          <w:bCs/>
          <w:spacing w:val="200"/>
          <w:kern w:val="1"/>
          <w:sz w:val="32"/>
          <w:szCs w:val="32"/>
        </w:rPr>
        <w:t>REPUBBLICA ITALIANA</w:t>
      </w:r>
      <w:proofErr w:type="gramEnd"/>
    </w:p>
    <w:p w:rsidR="00DD746A" w:rsidRDefault="00DD746A" w:rsidP="00DD746A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  <w:r>
        <w:rPr>
          <w:rFonts w:ascii="Garamond" w:hAnsi="Garamond" w:cs="Garamond"/>
          <w:b/>
          <w:bCs/>
          <w:kern w:val="1"/>
          <w:sz w:val="34"/>
          <w:szCs w:val="34"/>
        </w:rPr>
        <w:t>Il Consiglio di Stato</w:t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  <w:r>
        <w:rPr>
          <w:rFonts w:ascii="Garamond" w:hAnsi="Garamond" w:cs="Garamond"/>
          <w:b/>
          <w:bCs/>
          <w:kern w:val="1"/>
          <w:sz w:val="34"/>
          <w:szCs w:val="34"/>
        </w:rPr>
        <w:t>in sede giurisdizionale (Sezione Terza)</w:t>
      </w:r>
    </w:p>
    <w:p w:rsidR="00DD746A" w:rsidRDefault="00DD746A" w:rsidP="00DD746A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ha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pronunciato la presente</w:t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  <w:r>
        <w:rPr>
          <w:rFonts w:ascii="Garamond" w:hAnsi="Garamond" w:cs="Garamond"/>
          <w:b/>
          <w:bCs/>
          <w:kern w:val="1"/>
          <w:sz w:val="34"/>
          <w:szCs w:val="34"/>
        </w:rPr>
        <w:t>ORDINANZA</w:t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sul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ricorso numero di registro generale 7942 del 2012, proposto da:</w:t>
      </w:r>
    </w:p>
    <w:p w:rsidR="00DD746A" w:rsidRDefault="00DD746A" w:rsidP="00DD746A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Regione Puglia, rappresentata e difesa dagli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avv.ti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Vittorio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Triggiani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 ed Adriana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Shiroka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, con domicilio eletto presso Puglia - Delegazione Regionale, in Roma, via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Barberini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, 36;</w:t>
      </w:r>
    </w:p>
    <w:p w:rsidR="00DD746A" w:rsidRDefault="00DD746A" w:rsidP="00DD746A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i/>
          <w:iCs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i/>
          <w:iCs/>
          <w:kern w:val="1"/>
          <w:sz w:val="40"/>
          <w:szCs w:val="40"/>
        </w:rPr>
        <w:t>contro</w:t>
      </w:r>
      <w:proofErr w:type="gramEnd"/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Comune di Casarano, costituitosi in giudizio, rappresentato e difeso dall'avv. Vincenzo Caputi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Iambrenghi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, con domicilio eletto presso Vincenzo Caputi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Iambrenghi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, in Roma, via Vincenzo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Picardi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, 4/B; 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i/>
          <w:iCs/>
          <w:kern w:val="1"/>
          <w:sz w:val="40"/>
          <w:szCs w:val="40"/>
        </w:rPr>
      </w:pPr>
      <w:r>
        <w:rPr>
          <w:rFonts w:ascii="Garamond" w:hAnsi="Garamond" w:cs="Garamond"/>
          <w:i/>
          <w:iCs/>
          <w:kern w:val="1"/>
          <w:sz w:val="40"/>
          <w:szCs w:val="40"/>
        </w:rPr>
        <w:lastRenderedPageBreak/>
        <w:t xml:space="preserve">nei confronti </w:t>
      </w:r>
      <w:proofErr w:type="gramStart"/>
      <w:r>
        <w:rPr>
          <w:rFonts w:ascii="Garamond" w:hAnsi="Garamond" w:cs="Garamond"/>
          <w:i/>
          <w:iCs/>
          <w:kern w:val="1"/>
          <w:sz w:val="40"/>
          <w:szCs w:val="40"/>
        </w:rPr>
        <w:t>di</w:t>
      </w:r>
      <w:proofErr w:type="gramEnd"/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Comune di Scorrano, non costituitosi in giudizio;  Azienda Sanitaria Locale Lecce, costituitasi in giudizio, rappresentata e difesa dall'avv. Marcella Turco, con domicilio eletto presso Nicola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Saldutti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, in Roma, via Lorenzo Magalotti, 15; 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i/>
          <w:iCs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i/>
          <w:iCs/>
          <w:kern w:val="1"/>
          <w:sz w:val="40"/>
          <w:szCs w:val="40"/>
        </w:rPr>
        <w:t>per</w:t>
      </w:r>
      <w:proofErr w:type="gramEnd"/>
      <w:r>
        <w:rPr>
          <w:rFonts w:ascii="Garamond" w:hAnsi="Garamond" w:cs="Garamond"/>
          <w:i/>
          <w:iCs/>
          <w:kern w:val="1"/>
          <w:sz w:val="40"/>
          <w:szCs w:val="40"/>
        </w:rPr>
        <w:t xml:space="preserve"> la riforma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 xml:space="preserve">dell' 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>ordinanza cautelare del T.A.R. PUGLIA – BARI - SEZIONE II n. 00707/2012, resa tra le parti, concernente riordino rete ospedaliera regionale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Visto l'art. 62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cod.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proc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.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amm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Visti il ricorso in appello e i relativi allegati;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Visti tutti gli atti della causa;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Visto l’atto di costituzione in giudizio di Comune di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Casarano</w:t>
      </w:r>
      <w:proofErr w:type="gramEnd"/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Visto l’atto di costituzione in giudizio,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nonché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appello incidentale, di Azienda Sanitaria Locale Lecce;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Vista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 xml:space="preserve">la 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>impugnata ordinanza cautelare del Tribunale amministrativo regionale di accoglimento della domanda cautelare presentata dalla parte ricorrente in primo grado;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Viste le memorie difensive;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Relatore, nella camera di consiglio del giorno 30 novembre 2012, il </w:t>
      </w:r>
      <w:proofErr w:type="spellStart"/>
      <w:proofErr w:type="gramStart"/>
      <w:r>
        <w:rPr>
          <w:rFonts w:ascii="Garamond" w:hAnsi="Garamond" w:cs="Garamond"/>
          <w:kern w:val="1"/>
          <w:sz w:val="40"/>
          <w:szCs w:val="40"/>
        </w:rPr>
        <w:t>Cons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.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Salvatore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Cacace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 xml:space="preserve">Uditi per le parti, alla stessa camera di consiglio, gli avvocati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Shiroka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 e Caputi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Iambrenghi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;</w:t>
      </w:r>
      <w:proofErr w:type="gramEnd"/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Considerato che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l’impugnata scelta regionale appare sufficientemente supportata da valutazioni volte ad una efficiente riorganizzazione dei punti nascita sulla base del contesto geografico di riferimento ( ambiti territoriali in relazione ai quali la Regione Puglia ha ripartito i posti letto ) e che la stessa non appare suscettibile di arrecare un pregiudizio attuale all’originario ricorrente, da ricondursi semmai agli atti conseguenziali;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P.Q.M.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il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Consiglio di Stato in sede giurisdizionale (Sezione Terza) accoglie l'appello ( ricorso numero: 7942/2012 ) e, per l'effetto, in riforma dell'ordinanza impugnata, respinge l'istanza cautelare proposta in primo grado.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Spese della presente fase cautelare integralmente compensate fra le parti.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La presente ordinanza sarà eseguita dall'Amministrazione ed è depositata presso la segreteria della Sezione, che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provvederà 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darne comunicazione alle parti.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Così deciso in Roma nella camera di consiglio del giorno 30 novembre 2012 con l'intervento dei magistrati: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Gianpiero Paolo Cirillo, Presidente</w:t>
      </w:r>
    </w:p>
    <w:p w:rsidR="00DD746A" w:rsidRDefault="00DD746A" w:rsidP="00DD746A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Salvatore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Cacace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, Consigliere, Estensore</w:t>
      </w:r>
    </w:p>
    <w:p w:rsidR="00DD746A" w:rsidRDefault="00DD746A" w:rsidP="00DD746A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Dante D'Alessio, Consigliere</w:t>
      </w:r>
    </w:p>
    <w:p w:rsidR="00DD746A" w:rsidRDefault="00DD746A" w:rsidP="00DD746A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Alessandro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Palanza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, Consigliere</w:t>
      </w:r>
    </w:p>
    <w:p w:rsidR="00DD746A" w:rsidRDefault="00DD746A" w:rsidP="00DD746A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Paola Alba Aurora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Puliatti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, Consigliere</w:t>
      </w: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tbl>
      <w:tblPr>
        <w:tblW w:w="242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82"/>
        <w:gridCol w:w="236"/>
        <w:gridCol w:w="12582"/>
      </w:tblGrid>
      <w:tr w:rsidR="00DD746A">
        <w:tblPrEx>
          <w:tblCellMar>
            <w:top w:w="0" w:type="dxa"/>
            <w:bottom w:w="0" w:type="dxa"/>
          </w:tblCellMar>
        </w:tblPrEx>
        <w:tc>
          <w:tcPr>
            <w:tcW w:w="1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DD746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DD746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L'ESTENSORE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IL PRESIDENTE</w:t>
            </w:r>
          </w:p>
        </w:tc>
      </w:tr>
      <w:tr w:rsidR="00DD746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DD746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DD746A">
        <w:tblPrEx>
          <w:tblCellMar>
            <w:top w:w="0" w:type="dxa"/>
            <w:bottom w:w="0" w:type="dxa"/>
          </w:tblCellMar>
        </w:tblPrEx>
        <w:tc>
          <w:tcPr>
            <w:tcW w:w="1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D746A" w:rsidRDefault="00DD7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</w:tbl>
    <w:p w:rsidR="00DD746A" w:rsidRDefault="00DD746A" w:rsidP="00DD746A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DEPOSITATA IN SEGRETERIA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Il 30/11/2012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IL SEGRETARIO</w:t>
      </w:r>
    </w:p>
    <w:p w:rsidR="00DD746A" w:rsidRDefault="00DD746A" w:rsidP="00DD746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(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Art. 89, co. 3,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cod.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proc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 xml:space="preserve">. </w:t>
      </w:r>
      <w:proofErr w:type="spellStart"/>
      <w:r>
        <w:rPr>
          <w:rFonts w:ascii="Garamond" w:hAnsi="Garamond" w:cs="Garamond"/>
          <w:kern w:val="1"/>
          <w:sz w:val="40"/>
          <w:szCs w:val="40"/>
        </w:rPr>
        <w:t>amm</w:t>
      </w:r>
      <w:proofErr w:type="spellEnd"/>
      <w:r>
        <w:rPr>
          <w:rFonts w:ascii="Garamond" w:hAnsi="Garamond" w:cs="Garamond"/>
          <w:kern w:val="1"/>
          <w:sz w:val="40"/>
          <w:szCs w:val="40"/>
        </w:rPr>
        <w:t>.)</w:t>
      </w:r>
    </w:p>
    <w:p w:rsidR="00DD746A" w:rsidRDefault="00DD746A" w:rsidP="00DD746A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973D40" w:rsidRDefault="00973D40">
      <w:bookmarkStart w:id="0" w:name="_GoBack"/>
      <w:bookmarkEnd w:id="0"/>
    </w:p>
    <w:sectPr w:rsidR="00973D40" w:rsidSect="00A574C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6A"/>
    <w:rsid w:val="00973D40"/>
    <w:rsid w:val="00D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AF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46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7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46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D7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2611</Characters>
  <Application>Microsoft Macintosh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2012-12-05T12:30:00Z</dcterms:created>
  <dcterms:modified xsi:type="dcterms:W3CDTF">2012-12-05T12:30:00Z</dcterms:modified>
</cp:coreProperties>
</file>