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0" w:rsidRDefault="00D179C0" w:rsidP="00D179C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04409/2012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04596/2012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D179C0" w:rsidRDefault="00D179C0" w:rsidP="00D179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D179C0" w:rsidRDefault="00D179C0" w:rsidP="00D179C0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4596 del 2012, proposto da:  Società Gestione Distributori (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Sgd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)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Vending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legale rappresentante pro-tempore, rappresentata e difesa dagli avv.ti Aldo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Ignazio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Lagrotta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&amp;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Partners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Studio Legale Associato in Roma, via Ombrone, 12/B; 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Istituto Tecnico Commerciale Linguistico Statale Marco Polo, Ministero Istruzione Università e Ricerca, in persona dei </w:t>
      </w:r>
      <w:r>
        <w:rPr>
          <w:rFonts w:ascii="Garamond" w:hAnsi="Garamond" w:cs="Garamond"/>
          <w:kern w:val="1"/>
          <w:sz w:val="40"/>
          <w:szCs w:val="40"/>
        </w:rPr>
        <w:lastRenderedPageBreak/>
        <w:t>rispettivi titolari pro-tempore, rappresentati e difesi per legge dall'Avvocatura Generale dello Stato, domiciliata in Roma, via dei Portoghesi, 12; 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Somed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Ristorazione Automatica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legale rappresentante pro-tempore, rappresentata e difesa dall'avv. Luigi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Paccione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Alfredo Placidi in Roma, via Cosseria, 2; 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00736/2012, resa tra le parti, concernente affidamento concessione del servizio pubblico di somministrazione di ristoro mediante distributori automatici di bevande calde-fredde, prodotti freschi e alimenti preconfezionati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ai fini dell’esame collegiale dell’istanza cautelare può essere fissata la Camera di Consiglio del 27 novembre 2012;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non appaiono sussistere i presupposti prescritti per l’adozione,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medio tempore</w:t>
      </w:r>
      <w:r>
        <w:rPr>
          <w:rFonts w:ascii="Garamond" w:hAnsi="Garamond" w:cs="Garamond"/>
          <w:kern w:val="1"/>
          <w:sz w:val="40"/>
          <w:szCs w:val="40"/>
        </w:rPr>
        <w:t>, della misura cautelare provvisoria richiesta, tenuto conto che le iniziative volte all’esecuzione della sentenza appellata sono ancora in una fase iniziale;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fissa, per la discussione, la camera di consiglio del 27 novembre 2012.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9 novembre 2012.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40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7039"/>
      </w:tblGrid>
      <w:tr w:rsidR="00D179C0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179C0" w:rsidRDefault="00D17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179C0" w:rsidRDefault="00D17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D179C0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179C0" w:rsidRDefault="00D17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179C0" w:rsidRDefault="00D17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Giorgio Giovannini</w:t>
            </w:r>
          </w:p>
        </w:tc>
      </w:tr>
    </w:tbl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09/11/2012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D179C0" w:rsidRDefault="00D179C0" w:rsidP="00D179C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D179C0" w:rsidRDefault="00D179C0" w:rsidP="00D179C0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20D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0"/>
    <w:rsid w:val="00973D40"/>
    <w:rsid w:val="00D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9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79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9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79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Macintosh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2012-12-12T21:36:00Z</dcterms:created>
  <dcterms:modified xsi:type="dcterms:W3CDTF">2012-12-12T21:36:00Z</dcterms:modified>
</cp:coreProperties>
</file>