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D64" w:rsidRDefault="001D5D64" w:rsidP="001D5D64">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03670/2012 </w:t>
      </w:r>
      <w:proofErr w:type="gramStart"/>
      <w:r>
        <w:rPr>
          <w:rFonts w:ascii="Times" w:hAnsi="Times" w:cs="Times"/>
          <w:b/>
          <w:bCs/>
          <w:sz w:val="30"/>
          <w:szCs w:val="30"/>
        </w:rPr>
        <w:t>REG.PROV.CAU</w:t>
      </w:r>
      <w:proofErr w:type="gramEnd"/>
      <w:r>
        <w:rPr>
          <w:rFonts w:ascii="Times" w:hAnsi="Times" w:cs="Times"/>
          <w:b/>
          <w:bCs/>
          <w:sz w:val="30"/>
          <w:szCs w:val="30"/>
        </w:rPr>
        <w:t>.</w:t>
      </w:r>
    </w:p>
    <w:p w:rsidR="001D5D64" w:rsidRDefault="001D5D64" w:rsidP="001D5D64">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05944/2012 </w:t>
      </w:r>
      <w:proofErr w:type="gramStart"/>
      <w:r>
        <w:rPr>
          <w:rFonts w:ascii="Times" w:hAnsi="Times" w:cs="Times"/>
          <w:b/>
          <w:bCs/>
          <w:sz w:val="30"/>
          <w:szCs w:val="30"/>
        </w:rPr>
        <w:t>REG.RIC</w:t>
      </w:r>
      <w:proofErr w:type="gramEnd"/>
      <w:r>
        <w:rPr>
          <w:rFonts w:ascii="Times" w:hAnsi="Times" w:cs="Times"/>
          <w:b/>
          <w:bCs/>
          <w:sz w:val="30"/>
          <w:szCs w:val="30"/>
        </w:rPr>
        <w:t>.           </w:t>
      </w:r>
    </w:p>
    <w:p w:rsidR="001D5D64" w:rsidRDefault="001D5D64" w:rsidP="001D5D64">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1D5D64" w:rsidRDefault="001D5D64" w:rsidP="001D5D64">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1D5D64" w:rsidRDefault="001D5D64" w:rsidP="001D5D64">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1D5D64" w:rsidRDefault="001D5D64" w:rsidP="001D5D64">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Quinta)</w:t>
      </w:r>
    </w:p>
    <w:p w:rsidR="001D5D64" w:rsidRDefault="001D5D64" w:rsidP="001D5D64">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1D5D64" w:rsidRDefault="001D5D64" w:rsidP="001D5D64">
      <w:pPr>
        <w:widowControl w:val="0"/>
        <w:autoSpaceDE w:val="0"/>
        <w:autoSpaceDN w:val="0"/>
        <w:adjustRightInd w:val="0"/>
        <w:spacing w:after="340"/>
        <w:jc w:val="center"/>
        <w:rPr>
          <w:rFonts w:ascii="Garamond" w:hAnsi="Garamond" w:cs="Garamond"/>
          <w:b/>
          <w:bCs/>
          <w:kern w:val="1"/>
          <w:sz w:val="34"/>
          <w:szCs w:val="34"/>
        </w:rPr>
      </w:pPr>
    </w:p>
    <w:p w:rsidR="001D5D64" w:rsidRDefault="001D5D64" w:rsidP="001D5D64">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ORDINANZA</w:t>
      </w:r>
    </w:p>
    <w:p w:rsidR="001D5D64" w:rsidRDefault="001D5D64" w:rsidP="001D5D64">
      <w:pPr>
        <w:widowControl w:val="0"/>
        <w:autoSpaceDE w:val="0"/>
        <w:autoSpaceDN w:val="0"/>
        <w:adjustRightInd w:val="0"/>
        <w:spacing w:after="320"/>
        <w:rPr>
          <w:rFonts w:ascii="Times" w:hAnsi="Times" w:cs="Times"/>
          <w:kern w:val="1"/>
          <w:sz w:val="32"/>
          <w:szCs w:val="32"/>
        </w:rPr>
      </w:pPr>
    </w:p>
    <w:p w:rsidR="001D5D64" w:rsidRDefault="001D5D64" w:rsidP="001D5D6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5944 del 2012, proposto da:</w:t>
      </w:r>
    </w:p>
    <w:p w:rsidR="001D5D64" w:rsidRDefault="001D5D64" w:rsidP="001D5D64">
      <w:pPr>
        <w:widowControl w:val="0"/>
        <w:autoSpaceDE w:val="0"/>
        <w:autoSpaceDN w:val="0"/>
        <w:adjustRightInd w:val="0"/>
        <w:rPr>
          <w:rFonts w:ascii="Times" w:hAnsi="Times" w:cs="Times"/>
          <w:kern w:val="1"/>
          <w:sz w:val="32"/>
          <w:szCs w:val="32"/>
        </w:rPr>
      </w:pPr>
    </w:p>
    <w:p w:rsidR="001D5D64" w:rsidRDefault="001D5D64" w:rsidP="001D5D64">
      <w:pPr>
        <w:widowControl w:val="0"/>
        <w:autoSpaceDE w:val="0"/>
        <w:autoSpaceDN w:val="0"/>
        <w:adjustRightInd w:val="0"/>
        <w:jc w:val="both"/>
        <w:rPr>
          <w:rFonts w:ascii="Garamond" w:hAnsi="Garamond" w:cs="Garamond"/>
          <w:kern w:val="1"/>
          <w:sz w:val="40"/>
          <w:szCs w:val="40"/>
        </w:rPr>
      </w:pPr>
      <w:proofErr w:type="spellStart"/>
      <w:proofErr w:type="gramStart"/>
      <w:r>
        <w:rPr>
          <w:rFonts w:ascii="Garamond" w:hAnsi="Garamond" w:cs="Garamond"/>
          <w:kern w:val="1"/>
          <w:sz w:val="40"/>
          <w:szCs w:val="40"/>
        </w:rPr>
        <w:t>Sieco</w:t>
      </w:r>
      <w:proofErr w:type="spellEnd"/>
      <w:r>
        <w:rPr>
          <w:rFonts w:ascii="Garamond" w:hAnsi="Garamond" w:cs="Garamond"/>
          <w:kern w:val="1"/>
          <w:sz w:val="40"/>
          <w:szCs w:val="40"/>
        </w:rPr>
        <w:t xml:space="preserve"> S.p.a. in proprio e quale capogruppo mandataria dell’ATI con il Consorzio Gema, in persona del legale rappresentante pro tempore, rapp</w:t>
      </w:r>
      <w:proofErr w:type="gramEnd"/>
      <w:r>
        <w:rPr>
          <w:rFonts w:ascii="Garamond" w:hAnsi="Garamond" w:cs="Garamond"/>
          <w:kern w:val="1"/>
          <w:sz w:val="40"/>
          <w:szCs w:val="40"/>
        </w:rPr>
        <w:t xml:space="preserve">resentato e difeso dagli avv. Andrea Manzi e Vito Aurelio </w:t>
      </w:r>
      <w:proofErr w:type="spellStart"/>
      <w:r>
        <w:rPr>
          <w:rFonts w:ascii="Garamond" w:hAnsi="Garamond" w:cs="Garamond"/>
          <w:kern w:val="1"/>
          <w:sz w:val="40"/>
          <w:szCs w:val="40"/>
        </w:rPr>
        <w:t>Pappalepore</w:t>
      </w:r>
      <w:proofErr w:type="spellEnd"/>
      <w:r>
        <w:rPr>
          <w:rFonts w:ascii="Garamond" w:hAnsi="Garamond" w:cs="Garamond"/>
          <w:kern w:val="1"/>
          <w:sz w:val="40"/>
          <w:szCs w:val="40"/>
        </w:rPr>
        <w:t>, con domicilio eletto presso lo studio del primo, in Roma, via Confalonieri n. 5;</w:t>
      </w:r>
    </w:p>
    <w:p w:rsidR="001D5D64" w:rsidRDefault="001D5D64" w:rsidP="001D5D64">
      <w:pPr>
        <w:widowControl w:val="0"/>
        <w:autoSpaceDE w:val="0"/>
        <w:autoSpaceDN w:val="0"/>
        <w:adjustRightInd w:val="0"/>
        <w:rPr>
          <w:rFonts w:ascii="Times" w:hAnsi="Times" w:cs="Times"/>
          <w:kern w:val="1"/>
          <w:sz w:val="32"/>
          <w:szCs w:val="32"/>
        </w:rPr>
      </w:pPr>
    </w:p>
    <w:p w:rsidR="001D5D64" w:rsidRDefault="001D5D64" w:rsidP="001D5D64">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1D5D64" w:rsidRDefault="001D5D64" w:rsidP="001D5D6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Bisceglie, in persona del Sindaco pro tempore, rappresentato e difeso dagli avv. Angelo </w:t>
      </w:r>
      <w:proofErr w:type="spellStart"/>
      <w:r>
        <w:rPr>
          <w:rFonts w:ascii="Garamond" w:hAnsi="Garamond" w:cs="Garamond"/>
          <w:kern w:val="1"/>
          <w:sz w:val="40"/>
          <w:szCs w:val="40"/>
        </w:rPr>
        <w:t>Clarizia</w:t>
      </w:r>
      <w:proofErr w:type="spellEnd"/>
      <w:r>
        <w:rPr>
          <w:rFonts w:ascii="Garamond" w:hAnsi="Garamond" w:cs="Garamond"/>
          <w:kern w:val="1"/>
          <w:sz w:val="40"/>
          <w:szCs w:val="40"/>
        </w:rPr>
        <w:t xml:space="preserve"> e Massimo F. </w:t>
      </w:r>
      <w:proofErr w:type="spellStart"/>
      <w:r>
        <w:rPr>
          <w:rFonts w:ascii="Garamond" w:hAnsi="Garamond" w:cs="Garamond"/>
          <w:kern w:val="1"/>
          <w:sz w:val="40"/>
          <w:szCs w:val="40"/>
        </w:rPr>
        <w:lastRenderedPageBreak/>
        <w:t>Ingravalle</w:t>
      </w:r>
      <w:proofErr w:type="spellEnd"/>
      <w:r>
        <w:rPr>
          <w:rFonts w:ascii="Garamond" w:hAnsi="Garamond" w:cs="Garamond"/>
          <w:kern w:val="1"/>
          <w:sz w:val="40"/>
          <w:szCs w:val="40"/>
        </w:rPr>
        <w:t xml:space="preserve">, con domicilio eletto presso lo studio del primo in Roma, via Principessa Clotilde n. 2; </w:t>
      </w:r>
    </w:p>
    <w:p w:rsidR="001D5D64" w:rsidRDefault="001D5D64" w:rsidP="001D5D64">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1D5D64" w:rsidRDefault="001D5D64" w:rsidP="001D5D64">
      <w:pPr>
        <w:widowControl w:val="0"/>
        <w:autoSpaceDE w:val="0"/>
        <w:autoSpaceDN w:val="0"/>
        <w:adjustRightInd w:val="0"/>
        <w:jc w:val="both"/>
        <w:rPr>
          <w:rFonts w:ascii="Garamond" w:hAnsi="Garamond" w:cs="Garamond"/>
          <w:kern w:val="1"/>
          <w:sz w:val="40"/>
          <w:szCs w:val="40"/>
        </w:rPr>
      </w:pPr>
      <w:proofErr w:type="spellStart"/>
      <w:r>
        <w:rPr>
          <w:rFonts w:ascii="Garamond" w:hAnsi="Garamond" w:cs="Garamond"/>
          <w:kern w:val="1"/>
          <w:sz w:val="40"/>
          <w:szCs w:val="40"/>
        </w:rPr>
        <w:t>Camassambiente</w:t>
      </w:r>
      <w:proofErr w:type="spellEnd"/>
      <w:r>
        <w:rPr>
          <w:rFonts w:ascii="Garamond" w:hAnsi="Garamond" w:cs="Garamond"/>
          <w:kern w:val="1"/>
          <w:sz w:val="40"/>
          <w:szCs w:val="40"/>
        </w:rPr>
        <w:t xml:space="preserve"> S.p.a., in persona del legale rappresentante pro tempore, rappresentato e difeso dall'avv. Francesco Silvio </w:t>
      </w:r>
      <w:proofErr w:type="spellStart"/>
      <w:r>
        <w:rPr>
          <w:rFonts w:ascii="Garamond" w:hAnsi="Garamond" w:cs="Garamond"/>
          <w:kern w:val="1"/>
          <w:sz w:val="40"/>
          <w:szCs w:val="40"/>
        </w:rPr>
        <w:t>Dodaro</w:t>
      </w:r>
      <w:proofErr w:type="spellEnd"/>
      <w:r>
        <w:rPr>
          <w:rFonts w:ascii="Garamond" w:hAnsi="Garamond" w:cs="Garamond"/>
          <w:kern w:val="1"/>
          <w:sz w:val="40"/>
          <w:szCs w:val="40"/>
        </w:rPr>
        <w:t xml:space="preserve">, con domicilio eletto presso lo studio del dott. Alfredo Placidi in Roma, via Cosseria, 2;  Intini Source S.p.a., in persona del legale rappresentante pro tempore, non costituito in giudizio; </w:t>
      </w:r>
    </w:p>
    <w:p w:rsidR="001D5D64" w:rsidRDefault="001D5D64" w:rsidP="001D5D64">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1D5D64" w:rsidRDefault="001D5D64" w:rsidP="001D5D6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dell' </w:t>
      </w:r>
      <w:proofErr w:type="gramEnd"/>
      <w:r>
        <w:rPr>
          <w:rFonts w:ascii="Garamond" w:hAnsi="Garamond" w:cs="Garamond"/>
          <w:kern w:val="1"/>
          <w:sz w:val="40"/>
          <w:szCs w:val="40"/>
        </w:rPr>
        <w:t xml:space="preserve">ordinanza cautelare del T.A.R. PUGLIA – BARI, SEZIONE I, n. 00578/2012, resa tra le parti, concernente affidamento servizio igiene urbana - </w:t>
      </w:r>
      <w:proofErr w:type="spellStart"/>
      <w:r>
        <w:rPr>
          <w:rFonts w:ascii="Garamond" w:hAnsi="Garamond" w:cs="Garamond"/>
          <w:kern w:val="1"/>
          <w:sz w:val="40"/>
          <w:szCs w:val="40"/>
        </w:rPr>
        <w:t>mcp</w:t>
      </w:r>
      <w:proofErr w:type="spellEnd"/>
    </w:p>
    <w:p w:rsidR="001D5D64" w:rsidRDefault="001D5D64" w:rsidP="001D5D64">
      <w:pPr>
        <w:widowControl w:val="0"/>
        <w:autoSpaceDE w:val="0"/>
        <w:autoSpaceDN w:val="0"/>
        <w:adjustRightInd w:val="0"/>
        <w:jc w:val="both"/>
        <w:rPr>
          <w:rFonts w:ascii="Garamond" w:hAnsi="Garamond" w:cs="Garamond"/>
          <w:kern w:val="1"/>
          <w:sz w:val="40"/>
          <w:szCs w:val="40"/>
        </w:rPr>
      </w:pPr>
    </w:p>
    <w:p w:rsidR="001D5D64" w:rsidRDefault="001D5D64" w:rsidP="001D5D64">
      <w:pPr>
        <w:widowControl w:val="0"/>
        <w:autoSpaceDE w:val="0"/>
        <w:autoSpaceDN w:val="0"/>
        <w:adjustRightInd w:val="0"/>
        <w:rPr>
          <w:rFonts w:ascii="Times" w:hAnsi="Times" w:cs="Times"/>
          <w:kern w:val="1"/>
          <w:sz w:val="32"/>
          <w:szCs w:val="32"/>
        </w:rPr>
      </w:pPr>
    </w:p>
    <w:p w:rsidR="001D5D64" w:rsidRDefault="001D5D64" w:rsidP="001D5D6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l'art. 62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1D5D64" w:rsidRDefault="001D5D64" w:rsidP="001D5D6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1D5D64" w:rsidRDefault="001D5D64" w:rsidP="001D5D6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1D5D64" w:rsidRDefault="001D5D64" w:rsidP="001D5D6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di Comune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Bisceglie e di </w:t>
      </w:r>
      <w:proofErr w:type="spellStart"/>
      <w:r>
        <w:rPr>
          <w:rFonts w:ascii="Garamond" w:hAnsi="Garamond" w:cs="Garamond"/>
          <w:kern w:val="1"/>
          <w:sz w:val="40"/>
          <w:szCs w:val="40"/>
        </w:rPr>
        <w:t>Camassambiente</w:t>
      </w:r>
      <w:proofErr w:type="spellEnd"/>
      <w:r>
        <w:rPr>
          <w:rFonts w:ascii="Garamond" w:hAnsi="Garamond" w:cs="Garamond"/>
          <w:kern w:val="1"/>
          <w:sz w:val="40"/>
          <w:szCs w:val="40"/>
        </w:rPr>
        <w:t xml:space="preserve"> Spa;</w:t>
      </w:r>
    </w:p>
    <w:p w:rsidR="001D5D64" w:rsidRDefault="001D5D64" w:rsidP="001D5D6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Vista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impugnata ordinanza cautelare del Tribunale amministrativo regionale di reiezione della domanda cautelare presentata dalla parte ricorrente in primo grado;</w:t>
      </w:r>
    </w:p>
    <w:p w:rsidR="001D5D64" w:rsidRDefault="001D5D64" w:rsidP="001D5D6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1D5D64" w:rsidRDefault="001D5D64" w:rsidP="001D5D6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11 settembre 2012 il </w:t>
      </w:r>
      <w:proofErr w:type="spellStart"/>
      <w:proofErr w:type="gramStart"/>
      <w:r>
        <w:rPr>
          <w:rFonts w:ascii="Garamond" w:hAnsi="Garamond" w:cs="Garamond"/>
          <w:kern w:val="1"/>
          <w:sz w:val="40"/>
          <w:szCs w:val="40"/>
        </w:rPr>
        <w:t>Cons</w:t>
      </w:r>
      <w:proofErr w:type="spellEnd"/>
      <w:r>
        <w:rPr>
          <w:rFonts w:ascii="Garamond" w:hAnsi="Garamond" w:cs="Garamond"/>
          <w:kern w:val="1"/>
          <w:sz w:val="40"/>
          <w:szCs w:val="40"/>
        </w:rPr>
        <w:t>.</w:t>
      </w:r>
      <w:proofErr w:type="gramEnd"/>
      <w:r>
        <w:rPr>
          <w:rFonts w:ascii="Garamond" w:hAnsi="Garamond" w:cs="Garamond"/>
          <w:kern w:val="1"/>
          <w:sz w:val="40"/>
          <w:szCs w:val="40"/>
        </w:rPr>
        <w:t xml:space="preserve"> Antonio Amicuzzi e uditi per le parti gli avvocati Andrea Manzi, Vito Aurelio </w:t>
      </w:r>
      <w:proofErr w:type="spellStart"/>
      <w:r>
        <w:rPr>
          <w:rFonts w:ascii="Garamond" w:hAnsi="Garamond" w:cs="Garamond"/>
          <w:kern w:val="1"/>
          <w:sz w:val="40"/>
          <w:szCs w:val="40"/>
        </w:rPr>
        <w:t>Pappalepore</w:t>
      </w:r>
      <w:proofErr w:type="spellEnd"/>
      <w:r>
        <w:rPr>
          <w:rFonts w:ascii="Garamond" w:hAnsi="Garamond" w:cs="Garamond"/>
          <w:kern w:val="1"/>
          <w:sz w:val="40"/>
          <w:szCs w:val="40"/>
        </w:rPr>
        <w:t xml:space="preserve">, Angelo </w:t>
      </w:r>
      <w:proofErr w:type="spellStart"/>
      <w:r>
        <w:rPr>
          <w:rFonts w:ascii="Garamond" w:hAnsi="Garamond" w:cs="Garamond"/>
          <w:kern w:val="1"/>
          <w:sz w:val="40"/>
          <w:szCs w:val="40"/>
        </w:rPr>
        <w:t>Clarizia</w:t>
      </w:r>
      <w:proofErr w:type="spellEnd"/>
      <w:r>
        <w:rPr>
          <w:rFonts w:ascii="Garamond" w:hAnsi="Garamond" w:cs="Garamond"/>
          <w:kern w:val="1"/>
          <w:sz w:val="40"/>
          <w:szCs w:val="40"/>
        </w:rPr>
        <w:t xml:space="preserve">, Massimo </w:t>
      </w:r>
      <w:proofErr w:type="spellStart"/>
      <w:r>
        <w:rPr>
          <w:rFonts w:ascii="Garamond" w:hAnsi="Garamond" w:cs="Garamond"/>
          <w:kern w:val="1"/>
          <w:sz w:val="40"/>
          <w:szCs w:val="40"/>
        </w:rPr>
        <w:t>Ingravalle</w:t>
      </w:r>
      <w:proofErr w:type="spellEnd"/>
      <w:r>
        <w:rPr>
          <w:rFonts w:ascii="Garamond" w:hAnsi="Garamond" w:cs="Garamond"/>
          <w:kern w:val="1"/>
          <w:sz w:val="40"/>
          <w:szCs w:val="40"/>
        </w:rPr>
        <w:t xml:space="preserve"> e Francesco Silvio </w:t>
      </w:r>
      <w:proofErr w:type="spellStart"/>
      <w:r>
        <w:rPr>
          <w:rFonts w:ascii="Garamond" w:hAnsi="Garamond" w:cs="Garamond"/>
          <w:kern w:val="1"/>
          <w:sz w:val="40"/>
          <w:szCs w:val="40"/>
        </w:rPr>
        <w:t>Dodaro</w:t>
      </w:r>
      <w:proofErr w:type="spellEnd"/>
      <w:r>
        <w:rPr>
          <w:rFonts w:ascii="Garamond" w:hAnsi="Garamond" w:cs="Garamond"/>
          <w:kern w:val="1"/>
          <w:sz w:val="40"/>
          <w:szCs w:val="40"/>
        </w:rPr>
        <w:t>;</w:t>
      </w:r>
    </w:p>
    <w:p w:rsidR="001D5D64" w:rsidRDefault="001D5D64" w:rsidP="001D5D64">
      <w:pPr>
        <w:widowControl w:val="0"/>
        <w:autoSpaceDE w:val="0"/>
        <w:autoSpaceDN w:val="0"/>
        <w:adjustRightInd w:val="0"/>
        <w:jc w:val="both"/>
        <w:rPr>
          <w:rFonts w:ascii="Garamond" w:hAnsi="Garamond" w:cs="Garamond"/>
          <w:kern w:val="1"/>
          <w:sz w:val="40"/>
          <w:szCs w:val="40"/>
        </w:rPr>
      </w:pPr>
    </w:p>
    <w:p w:rsidR="001D5D64" w:rsidRDefault="001D5D64" w:rsidP="001D5D64">
      <w:pPr>
        <w:widowControl w:val="0"/>
        <w:autoSpaceDE w:val="0"/>
        <w:autoSpaceDN w:val="0"/>
        <w:adjustRightInd w:val="0"/>
        <w:rPr>
          <w:rFonts w:ascii="Times" w:hAnsi="Times" w:cs="Times"/>
          <w:kern w:val="1"/>
          <w:sz w:val="32"/>
          <w:szCs w:val="32"/>
        </w:rPr>
      </w:pPr>
    </w:p>
    <w:p w:rsidR="001D5D64" w:rsidRDefault="001D5D64" w:rsidP="001D5D6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Considerato che</w:t>
      </w:r>
      <w:proofErr w:type="gramEnd"/>
      <w:r>
        <w:rPr>
          <w:rFonts w:ascii="Garamond" w:hAnsi="Garamond" w:cs="Garamond"/>
          <w:kern w:val="1"/>
          <w:sz w:val="40"/>
          <w:szCs w:val="40"/>
        </w:rPr>
        <w:t xml:space="preserve"> nella presente fase del giudizio non si ravvisano motivi per discostarsi da quanto ritenuto nella appellata ordinanza, considerato che, sia pure ad un primo, sommario, esame, essa appare basata su condivisibili assunti e che la fissazione dell’udienza di merito per il 5.12.2012, con essa disposta, è da considerare idonea (essendo il contratto, nelle more stipulato con l’aggiudicataria </w:t>
      </w:r>
      <w:proofErr w:type="spellStart"/>
      <w:r>
        <w:rPr>
          <w:rFonts w:ascii="Garamond" w:hAnsi="Garamond" w:cs="Garamond"/>
          <w:kern w:val="1"/>
          <w:sz w:val="40"/>
          <w:szCs w:val="40"/>
        </w:rPr>
        <w:t>Camassambiente</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s.p.a.</w:t>
      </w:r>
      <w:proofErr w:type="spellEnd"/>
      <w:r>
        <w:rPr>
          <w:rFonts w:ascii="Garamond" w:hAnsi="Garamond" w:cs="Garamond"/>
          <w:kern w:val="1"/>
          <w:sz w:val="40"/>
          <w:szCs w:val="40"/>
        </w:rPr>
        <w:t>, di durata pluriennale) ad escludere la sussistenza di danno grave ed irreparabile;</w:t>
      </w:r>
    </w:p>
    <w:p w:rsidR="001D5D64" w:rsidRDefault="001D5D64" w:rsidP="001D5D6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che sussistono sufficienti motivi per compensare tra le parti le spese della presente fase cautelare.</w:t>
      </w:r>
    </w:p>
    <w:p w:rsidR="001D5D64" w:rsidRDefault="001D5D64" w:rsidP="001D5D64">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1D5D64" w:rsidRDefault="001D5D64" w:rsidP="001D5D6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Quinta) respinge l'appello (Ricorso numero: 5944/2012).</w:t>
      </w:r>
    </w:p>
    <w:p w:rsidR="001D5D64" w:rsidRDefault="001D5D64" w:rsidP="001D5D6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Provvede sulle spese della presente fase cautelare come segue: spese compensate.</w:t>
      </w:r>
    </w:p>
    <w:p w:rsidR="001D5D64" w:rsidRDefault="001D5D64" w:rsidP="001D5D6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presente ordinanza sarà eseguita dall'Amministrazione ed è depositata presso la segreteria della Sezione che </w:t>
      </w:r>
      <w:proofErr w:type="gramStart"/>
      <w:r>
        <w:rPr>
          <w:rFonts w:ascii="Garamond" w:hAnsi="Garamond" w:cs="Garamond"/>
          <w:kern w:val="1"/>
          <w:sz w:val="40"/>
          <w:szCs w:val="40"/>
        </w:rPr>
        <w:t>provvederà a</w:t>
      </w:r>
      <w:proofErr w:type="gramEnd"/>
      <w:r>
        <w:rPr>
          <w:rFonts w:ascii="Garamond" w:hAnsi="Garamond" w:cs="Garamond"/>
          <w:kern w:val="1"/>
          <w:sz w:val="40"/>
          <w:szCs w:val="40"/>
        </w:rPr>
        <w:t xml:space="preserve"> darne comunicazione alle parti.</w:t>
      </w:r>
    </w:p>
    <w:p w:rsidR="001D5D64" w:rsidRDefault="001D5D64" w:rsidP="001D5D6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11 settembre 2012 con l'intervento dei magistrati:</w:t>
      </w:r>
    </w:p>
    <w:p w:rsidR="001D5D64" w:rsidRDefault="001D5D64" w:rsidP="001D5D64">
      <w:pPr>
        <w:widowControl w:val="0"/>
        <w:autoSpaceDE w:val="0"/>
        <w:autoSpaceDN w:val="0"/>
        <w:adjustRightInd w:val="0"/>
        <w:jc w:val="both"/>
        <w:rPr>
          <w:rFonts w:ascii="Garamond" w:hAnsi="Garamond" w:cs="Garamond"/>
          <w:kern w:val="1"/>
          <w:sz w:val="40"/>
          <w:szCs w:val="40"/>
        </w:rPr>
      </w:pPr>
    </w:p>
    <w:p w:rsidR="001D5D64" w:rsidRDefault="001D5D64" w:rsidP="001D5D64">
      <w:pPr>
        <w:widowControl w:val="0"/>
        <w:autoSpaceDE w:val="0"/>
        <w:autoSpaceDN w:val="0"/>
        <w:adjustRightInd w:val="0"/>
        <w:jc w:val="both"/>
        <w:rPr>
          <w:rFonts w:ascii="Garamond" w:hAnsi="Garamond" w:cs="Garamond"/>
          <w:kern w:val="1"/>
          <w:sz w:val="40"/>
          <w:szCs w:val="40"/>
        </w:rPr>
      </w:pPr>
    </w:p>
    <w:p w:rsidR="001D5D64" w:rsidRDefault="001D5D64" w:rsidP="001D5D64">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Pier Giorgio Trovato, Presidente</w:t>
      </w:r>
    </w:p>
    <w:p w:rsidR="001D5D64" w:rsidRDefault="001D5D64" w:rsidP="001D5D64">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Carlo Saltelli, Consigliere</w:t>
      </w:r>
    </w:p>
    <w:p w:rsidR="001D5D64" w:rsidRDefault="001D5D64" w:rsidP="001D5D64">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Antonio Amicuzzi, Consigliere, Estensore</w:t>
      </w:r>
    </w:p>
    <w:p w:rsidR="001D5D64" w:rsidRDefault="001D5D64" w:rsidP="001D5D64">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Carlo </w:t>
      </w:r>
      <w:proofErr w:type="spellStart"/>
      <w:r>
        <w:rPr>
          <w:rFonts w:ascii="Garamond" w:hAnsi="Garamond" w:cs="Garamond"/>
          <w:kern w:val="1"/>
          <w:sz w:val="40"/>
          <w:szCs w:val="40"/>
        </w:rPr>
        <w:t>Schilardi</w:t>
      </w:r>
      <w:proofErr w:type="spellEnd"/>
      <w:r>
        <w:rPr>
          <w:rFonts w:ascii="Garamond" w:hAnsi="Garamond" w:cs="Garamond"/>
          <w:kern w:val="1"/>
          <w:sz w:val="40"/>
          <w:szCs w:val="40"/>
        </w:rPr>
        <w:t>, Consigliere</w:t>
      </w:r>
    </w:p>
    <w:p w:rsidR="001D5D64" w:rsidRDefault="001D5D64" w:rsidP="001D5D64">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Raffaele Prosperi, Consigliere</w:t>
      </w:r>
    </w:p>
    <w:p w:rsidR="001D5D64" w:rsidRDefault="001D5D64" w:rsidP="001D5D64">
      <w:pPr>
        <w:widowControl w:val="0"/>
        <w:autoSpaceDE w:val="0"/>
        <w:autoSpaceDN w:val="0"/>
        <w:adjustRightInd w:val="0"/>
        <w:spacing w:after="320"/>
        <w:rPr>
          <w:rFonts w:ascii="Times" w:hAnsi="Times" w:cs="Times"/>
          <w:kern w:val="1"/>
          <w:sz w:val="32"/>
          <w:szCs w:val="32"/>
        </w:rPr>
      </w:pPr>
    </w:p>
    <w:p w:rsidR="001D5D64" w:rsidRDefault="001D5D64" w:rsidP="001D5D64">
      <w:pPr>
        <w:widowControl w:val="0"/>
        <w:autoSpaceDE w:val="0"/>
        <w:autoSpaceDN w:val="0"/>
        <w:adjustRightInd w:val="0"/>
        <w:spacing w:after="320"/>
        <w:rPr>
          <w:rFonts w:ascii="Times" w:hAnsi="Times" w:cs="Times"/>
          <w:kern w:val="1"/>
          <w:sz w:val="32"/>
          <w:szCs w:val="32"/>
        </w:rPr>
      </w:pPr>
    </w:p>
    <w:p w:rsidR="001D5D64" w:rsidRDefault="001D5D64" w:rsidP="001D5D64">
      <w:pPr>
        <w:widowControl w:val="0"/>
        <w:autoSpaceDE w:val="0"/>
        <w:autoSpaceDN w:val="0"/>
        <w:adjustRightInd w:val="0"/>
        <w:spacing w:after="320"/>
        <w:rPr>
          <w:rFonts w:ascii="Times" w:hAnsi="Times" w:cs="Times"/>
          <w:kern w:val="1"/>
          <w:sz w:val="32"/>
          <w:szCs w:val="32"/>
        </w:rPr>
      </w:pPr>
    </w:p>
    <w:p w:rsidR="001D5D64" w:rsidRDefault="001D5D64" w:rsidP="001D5D64">
      <w:pPr>
        <w:widowControl w:val="0"/>
        <w:autoSpaceDE w:val="0"/>
        <w:autoSpaceDN w:val="0"/>
        <w:adjustRightInd w:val="0"/>
        <w:spacing w:after="320"/>
        <w:rPr>
          <w:rFonts w:ascii="Times" w:hAnsi="Times" w:cs="Times"/>
          <w:kern w:val="1"/>
          <w:sz w:val="32"/>
          <w:szCs w:val="32"/>
        </w:rPr>
      </w:pPr>
    </w:p>
    <w:tbl>
      <w:tblPr>
        <w:tblW w:w="17940" w:type="dxa"/>
        <w:tblBorders>
          <w:top w:val="nil"/>
          <w:left w:val="nil"/>
          <w:right w:val="nil"/>
        </w:tblBorders>
        <w:tblLayout w:type="fixed"/>
        <w:tblLook w:val="0000" w:firstRow="0" w:lastRow="0" w:firstColumn="0" w:lastColumn="0" w:noHBand="0" w:noVBand="0"/>
      </w:tblPr>
      <w:tblGrid>
        <w:gridCol w:w="8403"/>
        <w:gridCol w:w="236"/>
        <w:gridCol w:w="9301"/>
      </w:tblGrid>
      <w:tr w:rsidR="001D5D64">
        <w:tblPrEx>
          <w:tblCellMar>
            <w:top w:w="0" w:type="dxa"/>
            <w:bottom w:w="0" w:type="dxa"/>
          </w:tblCellMar>
        </w:tblPrEx>
        <w:tc>
          <w:tcPr>
            <w:tcW w:w="8420" w:type="dxa"/>
            <w:tcMar>
              <w:top w:w="20" w:type="nil"/>
              <w:left w:w="20" w:type="nil"/>
              <w:bottom w:w="20" w:type="nil"/>
              <w:right w:w="20" w:type="nil"/>
            </w:tcMar>
            <w:vAlign w:val="center"/>
          </w:tcPr>
          <w:p w:rsidR="001D5D64" w:rsidRDefault="001D5D6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1D5D64" w:rsidRDefault="001D5D64">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1D5D64" w:rsidRDefault="001D5D64">
            <w:pPr>
              <w:widowControl w:val="0"/>
              <w:autoSpaceDE w:val="0"/>
              <w:autoSpaceDN w:val="0"/>
              <w:adjustRightInd w:val="0"/>
              <w:jc w:val="center"/>
              <w:rPr>
                <w:rFonts w:ascii="Times New Roman" w:hAnsi="Times New Roman" w:cs="Times New Roman"/>
                <w:b/>
                <w:bCs/>
                <w:kern w:val="1"/>
                <w:sz w:val="38"/>
                <w:szCs w:val="38"/>
              </w:rPr>
            </w:pPr>
          </w:p>
        </w:tc>
      </w:tr>
      <w:tr w:rsidR="001D5D64">
        <w:tblPrEx>
          <w:tblBorders>
            <w:top w:val="none" w:sz="0" w:space="0" w:color="auto"/>
          </w:tblBorders>
          <w:tblCellMar>
            <w:top w:w="0" w:type="dxa"/>
            <w:bottom w:w="0" w:type="dxa"/>
          </w:tblCellMar>
        </w:tblPrEx>
        <w:tc>
          <w:tcPr>
            <w:tcW w:w="8420" w:type="dxa"/>
            <w:tcMar>
              <w:top w:w="20" w:type="nil"/>
              <w:left w:w="20" w:type="nil"/>
              <w:bottom w:w="20" w:type="nil"/>
              <w:right w:w="20" w:type="nil"/>
            </w:tcMar>
            <w:vAlign w:val="center"/>
          </w:tcPr>
          <w:p w:rsidR="001D5D64" w:rsidRDefault="001D5D6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1D5D64" w:rsidRDefault="001D5D64">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1D5D64" w:rsidRDefault="001D5D64">
            <w:pPr>
              <w:widowControl w:val="0"/>
              <w:autoSpaceDE w:val="0"/>
              <w:autoSpaceDN w:val="0"/>
              <w:adjustRightInd w:val="0"/>
              <w:jc w:val="center"/>
              <w:rPr>
                <w:rFonts w:ascii="Times New Roman" w:hAnsi="Times New Roman" w:cs="Times New Roman"/>
                <w:b/>
                <w:bCs/>
                <w:kern w:val="1"/>
                <w:sz w:val="38"/>
                <w:szCs w:val="38"/>
              </w:rPr>
            </w:pPr>
          </w:p>
        </w:tc>
      </w:tr>
      <w:tr w:rsidR="001D5D64">
        <w:tblPrEx>
          <w:tblBorders>
            <w:top w:val="none" w:sz="0" w:space="0" w:color="auto"/>
          </w:tblBorders>
          <w:tblCellMar>
            <w:top w:w="0" w:type="dxa"/>
            <w:bottom w:w="0" w:type="dxa"/>
          </w:tblCellMar>
        </w:tblPrEx>
        <w:tc>
          <w:tcPr>
            <w:tcW w:w="8420" w:type="dxa"/>
            <w:tcMar>
              <w:top w:w="20" w:type="nil"/>
              <w:left w:w="20" w:type="nil"/>
              <w:bottom w:w="20" w:type="nil"/>
              <w:right w:w="20" w:type="nil"/>
            </w:tcMar>
            <w:vAlign w:val="center"/>
          </w:tcPr>
          <w:p w:rsidR="001D5D64" w:rsidRDefault="001D5D6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80" w:type="dxa"/>
            <w:tcMar>
              <w:top w:w="20" w:type="nil"/>
              <w:left w:w="20" w:type="nil"/>
              <w:bottom w:w="20" w:type="nil"/>
              <w:right w:w="20" w:type="nil"/>
            </w:tcMar>
            <w:vAlign w:val="center"/>
          </w:tcPr>
          <w:p w:rsidR="001D5D64" w:rsidRDefault="001D5D64">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1D5D64" w:rsidRDefault="001D5D6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1D5D64">
        <w:tblPrEx>
          <w:tblBorders>
            <w:top w:val="none" w:sz="0" w:space="0" w:color="auto"/>
          </w:tblBorders>
          <w:tblCellMar>
            <w:top w:w="0" w:type="dxa"/>
            <w:bottom w:w="0" w:type="dxa"/>
          </w:tblCellMar>
        </w:tblPrEx>
        <w:tc>
          <w:tcPr>
            <w:tcW w:w="8420" w:type="dxa"/>
            <w:tcMar>
              <w:top w:w="20" w:type="nil"/>
              <w:left w:w="20" w:type="nil"/>
              <w:bottom w:w="20" w:type="nil"/>
              <w:right w:w="20" w:type="nil"/>
            </w:tcMar>
            <w:vAlign w:val="center"/>
          </w:tcPr>
          <w:p w:rsidR="001D5D64" w:rsidRDefault="001D5D6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1D5D64" w:rsidRDefault="001D5D64">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1D5D64" w:rsidRDefault="001D5D64">
            <w:pPr>
              <w:widowControl w:val="0"/>
              <w:autoSpaceDE w:val="0"/>
              <w:autoSpaceDN w:val="0"/>
              <w:adjustRightInd w:val="0"/>
              <w:jc w:val="center"/>
              <w:rPr>
                <w:rFonts w:ascii="Times New Roman" w:hAnsi="Times New Roman" w:cs="Times New Roman"/>
                <w:b/>
                <w:bCs/>
                <w:kern w:val="1"/>
                <w:sz w:val="38"/>
                <w:szCs w:val="38"/>
              </w:rPr>
            </w:pPr>
          </w:p>
        </w:tc>
      </w:tr>
      <w:tr w:rsidR="001D5D64">
        <w:tblPrEx>
          <w:tblBorders>
            <w:top w:val="none" w:sz="0" w:space="0" w:color="auto"/>
          </w:tblBorders>
          <w:tblCellMar>
            <w:top w:w="0" w:type="dxa"/>
            <w:bottom w:w="0" w:type="dxa"/>
          </w:tblCellMar>
        </w:tblPrEx>
        <w:tc>
          <w:tcPr>
            <w:tcW w:w="8420" w:type="dxa"/>
            <w:tcMar>
              <w:top w:w="20" w:type="nil"/>
              <w:left w:w="20" w:type="nil"/>
              <w:bottom w:w="20" w:type="nil"/>
              <w:right w:w="20" w:type="nil"/>
            </w:tcMar>
            <w:vAlign w:val="center"/>
          </w:tcPr>
          <w:p w:rsidR="001D5D64" w:rsidRDefault="001D5D6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1D5D64" w:rsidRDefault="001D5D64">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1D5D64" w:rsidRDefault="001D5D64">
            <w:pPr>
              <w:widowControl w:val="0"/>
              <w:autoSpaceDE w:val="0"/>
              <w:autoSpaceDN w:val="0"/>
              <w:adjustRightInd w:val="0"/>
              <w:jc w:val="center"/>
              <w:rPr>
                <w:rFonts w:ascii="Times New Roman" w:hAnsi="Times New Roman" w:cs="Times New Roman"/>
                <w:b/>
                <w:bCs/>
                <w:kern w:val="1"/>
                <w:sz w:val="38"/>
                <w:szCs w:val="38"/>
              </w:rPr>
            </w:pPr>
          </w:p>
        </w:tc>
      </w:tr>
      <w:tr w:rsidR="001D5D64">
        <w:tblPrEx>
          <w:tblCellMar>
            <w:top w:w="0" w:type="dxa"/>
            <w:bottom w:w="0" w:type="dxa"/>
          </w:tblCellMar>
        </w:tblPrEx>
        <w:tc>
          <w:tcPr>
            <w:tcW w:w="8420" w:type="dxa"/>
            <w:tcMar>
              <w:top w:w="20" w:type="nil"/>
              <w:left w:w="20" w:type="nil"/>
              <w:bottom w:w="20" w:type="nil"/>
              <w:right w:w="20" w:type="nil"/>
            </w:tcMar>
            <w:vAlign w:val="center"/>
          </w:tcPr>
          <w:p w:rsidR="001D5D64" w:rsidRDefault="001D5D6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1D5D64" w:rsidRDefault="001D5D64">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1D5D64" w:rsidRDefault="001D5D64">
            <w:pPr>
              <w:widowControl w:val="0"/>
              <w:autoSpaceDE w:val="0"/>
              <w:autoSpaceDN w:val="0"/>
              <w:adjustRightInd w:val="0"/>
              <w:jc w:val="center"/>
              <w:rPr>
                <w:rFonts w:ascii="Times New Roman" w:hAnsi="Times New Roman" w:cs="Times New Roman"/>
                <w:b/>
                <w:bCs/>
                <w:kern w:val="1"/>
                <w:sz w:val="38"/>
                <w:szCs w:val="38"/>
              </w:rPr>
            </w:pPr>
          </w:p>
        </w:tc>
      </w:tr>
    </w:tbl>
    <w:p w:rsidR="001D5D64" w:rsidRDefault="001D5D64" w:rsidP="001D5D64">
      <w:pPr>
        <w:widowControl w:val="0"/>
        <w:autoSpaceDE w:val="0"/>
        <w:autoSpaceDN w:val="0"/>
        <w:adjustRightInd w:val="0"/>
        <w:rPr>
          <w:rFonts w:ascii="Times" w:hAnsi="Times" w:cs="Times"/>
          <w:kern w:val="1"/>
          <w:sz w:val="32"/>
          <w:szCs w:val="32"/>
        </w:rPr>
      </w:pPr>
    </w:p>
    <w:p w:rsidR="001D5D64" w:rsidRDefault="001D5D64" w:rsidP="001D5D64">
      <w:pPr>
        <w:widowControl w:val="0"/>
        <w:autoSpaceDE w:val="0"/>
        <w:autoSpaceDN w:val="0"/>
        <w:adjustRightInd w:val="0"/>
        <w:rPr>
          <w:rFonts w:ascii="Times" w:hAnsi="Times" w:cs="Times"/>
          <w:kern w:val="1"/>
          <w:sz w:val="32"/>
          <w:szCs w:val="32"/>
        </w:rPr>
      </w:pPr>
    </w:p>
    <w:p w:rsidR="001D5D64" w:rsidRDefault="001D5D64" w:rsidP="001D5D64">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1D5D64" w:rsidRDefault="001D5D64" w:rsidP="001D5D64">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12/09/2012</w:t>
      </w:r>
    </w:p>
    <w:p w:rsidR="001D5D64" w:rsidRDefault="001D5D64" w:rsidP="001D5D64">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1D5D64" w:rsidRDefault="001D5D64" w:rsidP="001D5D64">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1D5D64" w:rsidRDefault="001D5D64" w:rsidP="001D5D64">
      <w:pPr>
        <w:widowControl w:val="0"/>
        <w:autoSpaceDE w:val="0"/>
        <w:autoSpaceDN w:val="0"/>
        <w:adjustRightInd w:val="0"/>
        <w:rPr>
          <w:rFonts w:ascii="Times" w:hAnsi="Times" w:cs="Times"/>
          <w:kern w:val="1"/>
          <w:sz w:val="32"/>
          <w:szCs w:val="32"/>
        </w:rPr>
      </w:pPr>
    </w:p>
    <w:p w:rsidR="00100982" w:rsidRDefault="00100982">
      <w:bookmarkStart w:id="0" w:name="_GoBack"/>
      <w:bookmarkEnd w:id="0"/>
    </w:p>
    <w:sectPr w:rsidR="00100982" w:rsidSect="00412B05">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64"/>
    <w:rsid w:val="00100982"/>
    <w:rsid w:val="001D5D64"/>
    <w:rsid w:val="00351E7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3AED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D5D6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D5D6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D5D6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D5D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494</Words>
  <Characters>2816</Characters>
  <Application>Microsoft Macintosh Word</Application>
  <DocSecurity>0</DocSecurity>
  <Lines>23</Lines>
  <Paragraphs>6</Paragraphs>
  <ScaleCrop>false</ScaleCrop>
  <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1</cp:revision>
  <dcterms:created xsi:type="dcterms:W3CDTF">2012-09-20T21:50:00Z</dcterms:created>
  <dcterms:modified xsi:type="dcterms:W3CDTF">2012-09-20T21:50:00Z</dcterms:modified>
</cp:coreProperties>
</file>