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2" w:rsidRPr="008930D2" w:rsidRDefault="008930D2" w:rsidP="008930D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8930D2">
        <w:rPr>
          <w:rFonts w:ascii="Times Nordic" w:eastAsia="Times New Roman" w:hAnsi="Times Nordic" w:cs="Times New Roman"/>
          <w:b/>
          <w:bCs/>
          <w:lang w:eastAsia="it-IT"/>
        </w:rPr>
        <w:t>N. 03012/2012 REG.PROV.CAU.</w:t>
      </w:r>
    </w:p>
    <w:p w:rsidR="008930D2" w:rsidRPr="008930D2" w:rsidRDefault="008930D2" w:rsidP="008930D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8930D2">
        <w:rPr>
          <w:rFonts w:ascii="Times Nordic" w:eastAsia="Times New Roman" w:hAnsi="Times Nordic" w:cs="Times New Roman"/>
          <w:b/>
          <w:bCs/>
          <w:lang w:eastAsia="it-IT"/>
        </w:rPr>
        <w:t>N. 04816/2012 REG.RIC.           </w:t>
      </w:r>
    </w:p>
    <w:p w:rsidR="008930D2" w:rsidRPr="008930D2" w:rsidRDefault="008930D2" w:rsidP="008930D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449B22E7" wp14:editId="0E96DB80">
            <wp:extent cx="729615" cy="827405"/>
            <wp:effectExtent l="0" t="0" r="0" b="0"/>
            <wp:docPr id="1" name="Immagine 1" descr="http://www.giustizia-amministrativa.it/DocumentiGA/Consiglio%20di%20Stato/Sezione%206/2012/201204816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ustizia-amministrativa.it/DocumentiGA/Consiglio%20di%20Stato/Sezione%206/2012/201204816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D2" w:rsidRPr="008930D2" w:rsidRDefault="008930D2" w:rsidP="008930D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8930D2" w:rsidRPr="008930D2" w:rsidRDefault="008930D2" w:rsidP="008930D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8930D2" w:rsidRPr="008930D2" w:rsidRDefault="008930D2" w:rsidP="008930D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Sesta)</w:t>
      </w:r>
    </w:p>
    <w:p w:rsidR="008930D2" w:rsidRPr="008930D2" w:rsidRDefault="008930D2" w:rsidP="008930D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ha pronunciato la presente</w:t>
      </w:r>
    </w:p>
    <w:p w:rsidR="008930D2" w:rsidRPr="008930D2" w:rsidRDefault="008930D2" w:rsidP="008930D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4816 del 2012, proposto da: </w:t>
      </w:r>
    </w:p>
    <w:p w:rsidR="008930D2" w:rsidRPr="008930D2" w:rsidRDefault="008930D2" w:rsidP="0089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Marco Matteo Ciccone, rappresentato e difeso dagli avv. Pasquale Medina e Marco Vitone, con domicilio eletto presso l’avv. Franco Gaetano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Scoca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in Roma, via Paisiello, 55; </w:t>
      </w:r>
    </w:p>
    <w:p w:rsidR="008930D2" w:rsidRPr="008930D2" w:rsidRDefault="008930D2" w:rsidP="0089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30D2" w:rsidRPr="008930D2" w:rsidRDefault="008930D2" w:rsidP="008930D2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Università degli Studi di Bari, rappresentato e difeso dagli avv. Gaetano Prudente, Domenico Carbonara, con domicilio eletto presso l’avv. Alfredo Fava in Roma, Piazzale Aldo Moro, 5; </w:t>
      </w:r>
    </w:p>
    <w:p w:rsidR="008930D2" w:rsidRPr="008930D2" w:rsidRDefault="008930D2" w:rsidP="008930D2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nei confronti di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Stefano Favale, rappresentato e difeso dagli avv. Vincenzo Caputi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Iambrenghi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Fulvio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Mastroviti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con domicilio eletto presso Studio Legale Caputi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Iambrenghi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in Roma, via Vincenzo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Picardi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4/B; Azienda Ospedaliero-Universitaria Consorziale Policlinico di Bari; </w:t>
      </w:r>
    </w:p>
    <w:p w:rsidR="008930D2" w:rsidRPr="008930D2" w:rsidRDefault="008930D2" w:rsidP="008930D2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la riforma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ordinanza cautelare del T.A.R. PUGLIA - BARI: SEZIONE I n. 00345/2012, resa tra le parti, concernente procedura concorsuale docenti universitari</w:t>
      </w:r>
    </w:p>
    <w:p w:rsidR="008930D2" w:rsidRPr="008930D2" w:rsidRDefault="008930D2" w:rsidP="0089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Visto l'art. 62 cod.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Visti il ricorso in appello e i relativi allegati;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Visti tutti gli atti della causa;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Visti gli atti di costituzione in giudizio di Università degli Studi di Bari e di Stefano Favale;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Vista la impugnata ordinanza cautelare del Tribunale amministrativo regionale di reiezione della domanda cautelare presentata dalla parte ricorrente in primo grado;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Viste le memorie difensive;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Relatore nella camera di consiglio del giorno 31 luglio 2012 il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Cons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Roberto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Giovagnoli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 uditi per le parti gli avvocati Medina, l'avv. Vitone, l'avv. Prudente e l'avv. Caputi;</w:t>
      </w:r>
    </w:p>
    <w:p w:rsidR="008930D2" w:rsidRPr="008930D2" w:rsidRDefault="008930D2" w:rsidP="0089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Considerato che non risulta, allo stato, sussistente il </w:t>
      </w:r>
      <w:proofErr w:type="spellStart"/>
      <w:r w:rsidRPr="008930D2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periculum</w:t>
      </w:r>
      <w:proofErr w:type="spellEnd"/>
      <w:r w:rsidRPr="008930D2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 xml:space="preserve"> in mora</w:t>
      </w: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in quanto, nelle more del rinnovo della procedura concorsuale il mantenimento in servizio del controinteressato non reca al ricorrente un pregiudizio grave e irreparabile, essendo la posizione di quest’ultimo pienamente reintegrabile, anche in forma specifica mediante il subentro, all’esito del giudizio di merito; 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ritenuto che sussistono i presupposti per compensare le spese della presente fase cautelare;</w:t>
      </w:r>
    </w:p>
    <w:p w:rsidR="008930D2" w:rsidRPr="008930D2" w:rsidRDefault="008930D2" w:rsidP="008930D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Il Consiglio di Stato in sede giurisdizionale (Sezione Sesta)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Respinge l'appello (Ricorso numero: 4816/2012).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Spese compensate.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8930D2" w:rsidRPr="008930D2" w:rsidRDefault="008930D2" w:rsidP="008930D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Così deciso in Roma nella camera di consiglio del giorno 31 luglio 2012 con l'intervento dei magistrati:</w:t>
      </w:r>
    </w:p>
    <w:p w:rsidR="008930D2" w:rsidRPr="008930D2" w:rsidRDefault="008930D2" w:rsidP="008930D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Luigi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Maruotti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, Presidente</w:t>
      </w:r>
    </w:p>
    <w:p w:rsidR="008930D2" w:rsidRPr="008930D2" w:rsidRDefault="008930D2" w:rsidP="008930D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Maurizio Meschino, Consigliere</w:t>
      </w:r>
    </w:p>
    <w:p w:rsidR="008930D2" w:rsidRPr="008930D2" w:rsidRDefault="008930D2" w:rsidP="008930D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Roberto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Giovagnoli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, Consigliere, Estensore</w:t>
      </w:r>
    </w:p>
    <w:p w:rsidR="008930D2" w:rsidRPr="008930D2" w:rsidRDefault="008930D2" w:rsidP="008930D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Claudio Contessa, Consigliere</w:t>
      </w:r>
    </w:p>
    <w:p w:rsidR="008930D2" w:rsidRPr="008930D2" w:rsidRDefault="008930D2" w:rsidP="008930D2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Gabriella De Michele,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3"/>
        <w:gridCol w:w="5034"/>
      </w:tblGrid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30D2" w:rsidRPr="008930D2" w:rsidTr="008930D2"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9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930D2" w:rsidRPr="008930D2" w:rsidRDefault="008930D2" w:rsidP="008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8930D2" w:rsidRPr="008930D2" w:rsidRDefault="008930D2" w:rsidP="008930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30D2" w:rsidRPr="008930D2" w:rsidRDefault="008930D2" w:rsidP="008930D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DEPOSITATA IN SEGRETERIA</w:t>
      </w:r>
    </w:p>
    <w:p w:rsidR="008930D2" w:rsidRPr="008930D2" w:rsidRDefault="008930D2" w:rsidP="008930D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Il 01/08/2012</w:t>
      </w:r>
    </w:p>
    <w:p w:rsidR="008930D2" w:rsidRPr="008930D2" w:rsidRDefault="008930D2" w:rsidP="008930D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8930D2" w:rsidRPr="008930D2" w:rsidRDefault="008930D2" w:rsidP="008930D2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 w:eastAsia="it-IT"/>
        </w:rPr>
      </w:pPr>
      <w:r w:rsidRPr="008930D2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(Art. 89, co. 3, cod. proc. </w:t>
      </w:r>
      <w:proofErr w:type="spellStart"/>
      <w:r w:rsidRPr="008930D2">
        <w:rPr>
          <w:rFonts w:ascii="Garamond" w:eastAsia="Times New Roman" w:hAnsi="Garamond" w:cs="Times New Roman"/>
          <w:sz w:val="30"/>
          <w:szCs w:val="30"/>
          <w:lang w:val="en-US" w:eastAsia="it-IT"/>
        </w:rPr>
        <w:t>amm</w:t>
      </w:r>
      <w:proofErr w:type="spellEnd"/>
      <w:r w:rsidRPr="008930D2">
        <w:rPr>
          <w:rFonts w:ascii="Garamond" w:eastAsia="Times New Roman" w:hAnsi="Garamond" w:cs="Times New Roman"/>
          <w:sz w:val="30"/>
          <w:szCs w:val="30"/>
          <w:lang w:val="en-US" w:eastAsia="it-IT"/>
        </w:rPr>
        <w:t>.)</w:t>
      </w:r>
    </w:p>
    <w:p w:rsidR="00AF6FD3" w:rsidRPr="008930D2" w:rsidRDefault="00AF6FD3">
      <w:pPr>
        <w:rPr>
          <w:lang w:val="en-US"/>
        </w:rPr>
      </w:pPr>
      <w:bookmarkStart w:id="0" w:name="_GoBack"/>
      <w:bookmarkEnd w:id="0"/>
    </w:p>
    <w:sectPr w:rsidR="00AF6FD3" w:rsidRPr="00893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2"/>
    <w:rsid w:val="008930D2"/>
    <w:rsid w:val="00A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7766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2012-08-06T05:55:00Z</dcterms:created>
  <dcterms:modified xsi:type="dcterms:W3CDTF">2012-08-06T05:55:00Z</dcterms:modified>
</cp:coreProperties>
</file>